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8F63B" w14:textId="386F22C5" w:rsidR="0003275B" w:rsidRPr="00E80555" w:rsidRDefault="26D3A9DE" w:rsidP="7F344375">
      <w:pPr>
        <w:jc w:val="center"/>
        <w:rPr>
          <w:noProof/>
        </w:rPr>
      </w:pPr>
      <w:r w:rsidRPr="7F344375">
        <w:rPr>
          <w:noProof/>
        </w:rPr>
        <w:t xml:space="preserve">         </w:t>
      </w:r>
    </w:p>
    <w:p w14:paraId="5027CA52" w14:textId="77777777" w:rsidR="0003275B" w:rsidRPr="00E80555" w:rsidRDefault="0003275B" w:rsidP="0003275B">
      <w:pPr>
        <w:jc w:val="center"/>
        <w:rPr>
          <w:noProof/>
          <w:szCs w:val="24"/>
        </w:rPr>
      </w:pPr>
    </w:p>
    <w:p w14:paraId="361FC8E8" w14:textId="77777777" w:rsidR="0003275B" w:rsidRPr="00E80555" w:rsidRDefault="0003275B" w:rsidP="0003275B">
      <w:pPr>
        <w:jc w:val="center"/>
        <w:rPr>
          <w:noProof/>
          <w:szCs w:val="24"/>
        </w:rPr>
      </w:pPr>
    </w:p>
    <w:p w14:paraId="6A2A8687" w14:textId="218994D7" w:rsidR="00AD7B0C" w:rsidRPr="00E80555" w:rsidRDefault="0003275B" w:rsidP="0003275B">
      <w:pPr>
        <w:jc w:val="center"/>
        <w:rPr>
          <w:szCs w:val="24"/>
        </w:rPr>
      </w:pPr>
      <w:r w:rsidRPr="00E80555">
        <w:rPr>
          <w:noProof/>
          <w:szCs w:val="24"/>
          <w:lang w:eastAsia="es-PA"/>
        </w:rPr>
        <w:drawing>
          <wp:inline distT="0" distB="0" distL="0" distR="0" wp14:anchorId="2716D4AB" wp14:editId="4EB7A128">
            <wp:extent cx="2094614" cy="817547"/>
            <wp:effectExtent l="0" t="0" r="1270" b="1905"/>
            <wp:docPr id="2" name="Imagen 2" descr="Autoridad Nacional de los Servicios Públicos (ASEP) | Consult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toridad Nacional de los Servicios Públicos (ASEP) | Consulta-le"/>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30692" b="30277"/>
                    <a:stretch/>
                  </pic:blipFill>
                  <pic:spPr bwMode="auto">
                    <a:xfrm>
                      <a:off x="0" y="0"/>
                      <a:ext cx="2106163" cy="822055"/>
                    </a:xfrm>
                    <a:prstGeom prst="rect">
                      <a:avLst/>
                    </a:prstGeom>
                    <a:noFill/>
                    <a:ln>
                      <a:noFill/>
                    </a:ln>
                    <a:extLst>
                      <a:ext uri="{53640926-AAD7-44D8-BBD7-CCE9431645EC}">
                        <a14:shadowObscured xmlns:a14="http://schemas.microsoft.com/office/drawing/2010/main"/>
                      </a:ext>
                    </a:extLst>
                  </pic:spPr>
                </pic:pic>
              </a:graphicData>
            </a:graphic>
          </wp:inline>
        </w:drawing>
      </w:r>
    </w:p>
    <w:p w14:paraId="3B7938E8" w14:textId="35517310" w:rsidR="0003275B" w:rsidRPr="00E80555" w:rsidRDefault="0003275B" w:rsidP="0003275B">
      <w:pPr>
        <w:jc w:val="center"/>
        <w:rPr>
          <w:szCs w:val="24"/>
        </w:rPr>
      </w:pPr>
    </w:p>
    <w:p w14:paraId="10B803E2" w14:textId="7E79AB1F" w:rsidR="00414752" w:rsidRPr="00E80555" w:rsidRDefault="00414752" w:rsidP="0003275B">
      <w:pPr>
        <w:jc w:val="center"/>
        <w:rPr>
          <w:szCs w:val="24"/>
        </w:rPr>
      </w:pPr>
    </w:p>
    <w:p w14:paraId="1CA6C30B" w14:textId="44953D5C" w:rsidR="00414752" w:rsidRPr="00E80555" w:rsidRDefault="00414752" w:rsidP="0003275B">
      <w:pPr>
        <w:jc w:val="center"/>
        <w:rPr>
          <w:szCs w:val="24"/>
        </w:rPr>
      </w:pPr>
    </w:p>
    <w:p w14:paraId="2C5FCD63" w14:textId="77777777" w:rsidR="00414752" w:rsidRPr="00E80555" w:rsidRDefault="00414752" w:rsidP="0003275B">
      <w:pPr>
        <w:jc w:val="center"/>
        <w:rPr>
          <w:szCs w:val="24"/>
        </w:rPr>
      </w:pPr>
    </w:p>
    <w:p w14:paraId="5CDE152C" w14:textId="77777777" w:rsidR="0005537D" w:rsidRPr="00DD2295" w:rsidRDefault="0005537D" w:rsidP="0005537D">
      <w:pPr>
        <w:jc w:val="center"/>
        <w:rPr>
          <w:sz w:val="32"/>
          <w:szCs w:val="32"/>
        </w:rPr>
      </w:pPr>
      <w:r w:rsidRPr="00DD2295">
        <w:rPr>
          <w:sz w:val="32"/>
          <w:szCs w:val="32"/>
        </w:rPr>
        <w:t>Documento para consulta pública</w:t>
      </w:r>
    </w:p>
    <w:p w14:paraId="4EDF1465" w14:textId="76D03CD6" w:rsidR="0005537D" w:rsidRPr="00DD2295" w:rsidRDefault="0005537D" w:rsidP="0005537D">
      <w:pPr>
        <w:jc w:val="center"/>
        <w:rPr>
          <w:sz w:val="32"/>
          <w:szCs w:val="32"/>
        </w:rPr>
      </w:pPr>
      <w:r w:rsidRPr="00DD2295">
        <w:rPr>
          <w:b/>
          <w:bCs/>
          <w:sz w:val="32"/>
          <w:szCs w:val="32"/>
        </w:rPr>
        <w:t xml:space="preserve">PROPUESTA DE MODIFICACIÓN AL TÍTULO V DEL REGLAMENTO DE DISTRIBUCIÓN Y COMERCIALIZACIÓN, </w:t>
      </w:r>
      <w:r w:rsidRPr="00DD2295">
        <w:rPr>
          <w:rFonts w:eastAsia="Times New Roman"/>
          <w:b/>
          <w:bCs/>
          <w:sz w:val="32"/>
          <w:szCs w:val="32"/>
        </w:rPr>
        <w:t xml:space="preserve">DENOMINADO “RÉGIMEN </w:t>
      </w:r>
      <w:r w:rsidR="00592F0B">
        <w:rPr>
          <w:rFonts w:eastAsia="Times New Roman"/>
          <w:b/>
          <w:bCs/>
          <w:sz w:val="32"/>
          <w:szCs w:val="32"/>
        </w:rPr>
        <w:t>DE SUMINISTRO</w:t>
      </w:r>
      <w:r w:rsidRPr="00DD2295">
        <w:rPr>
          <w:rFonts w:eastAsia="Times New Roman"/>
          <w:b/>
          <w:bCs/>
          <w:sz w:val="32"/>
          <w:szCs w:val="32"/>
        </w:rPr>
        <w:t>”</w:t>
      </w:r>
    </w:p>
    <w:p w14:paraId="5F1E579B" w14:textId="77777777" w:rsidR="0005537D" w:rsidRPr="00DD2295" w:rsidRDefault="0005537D" w:rsidP="0005537D">
      <w:pPr>
        <w:jc w:val="center"/>
        <w:rPr>
          <w:sz w:val="32"/>
          <w:szCs w:val="32"/>
        </w:rPr>
      </w:pPr>
    </w:p>
    <w:p w14:paraId="2A13CB3F" w14:textId="00CC6926" w:rsidR="0005537D" w:rsidRPr="00DD2295" w:rsidRDefault="0005537D" w:rsidP="0005537D">
      <w:pPr>
        <w:jc w:val="center"/>
        <w:rPr>
          <w:sz w:val="32"/>
          <w:szCs w:val="32"/>
        </w:rPr>
      </w:pPr>
      <w:r w:rsidRPr="00DD2295">
        <w:rPr>
          <w:sz w:val="32"/>
          <w:szCs w:val="32"/>
        </w:rPr>
        <w:t xml:space="preserve"> </w:t>
      </w:r>
      <w:r w:rsidR="008E26C3">
        <w:rPr>
          <w:sz w:val="32"/>
          <w:szCs w:val="32"/>
        </w:rPr>
        <w:t>Diciembr</w:t>
      </w:r>
      <w:r w:rsidRPr="00DD2295">
        <w:rPr>
          <w:sz w:val="32"/>
          <w:szCs w:val="32"/>
        </w:rPr>
        <w:t>e 2025</w:t>
      </w:r>
    </w:p>
    <w:p w14:paraId="196F97A9" w14:textId="77777777" w:rsidR="00C91F40" w:rsidRPr="00E80555" w:rsidRDefault="00C91F40" w:rsidP="0003275B">
      <w:pPr>
        <w:jc w:val="center"/>
        <w:rPr>
          <w:szCs w:val="24"/>
        </w:rPr>
      </w:pPr>
    </w:p>
    <w:p w14:paraId="2225EC3C" w14:textId="77777777" w:rsidR="00C91F40" w:rsidRPr="00E80555" w:rsidRDefault="00C91F40" w:rsidP="0003275B">
      <w:pPr>
        <w:jc w:val="center"/>
        <w:rPr>
          <w:szCs w:val="24"/>
        </w:rPr>
      </w:pPr>
    </w:p>
    <w:p w14:paraId="11F2720C" w14:textId="77777777" w:rsidR="00C91F40" w:rsidRPr="00E80555" w:rsidRDefault="00C91F40" w:rsidP="0003275B">
      <w:pPr>
        <w:jc w:val="center"/>
        <w:rPr>
          <w:szCs w:val="24"/>
        </w:rPr>
      </w:pPr>
    </w:p>
    <w:p w14:paraId="3A4F02B9" w14:textId="77777777" w:rsidR="00C91F40" w:rsidRPr="00E80555" w:rsidRDefault="00C91F40" w:rsidP="0003275B">
      <w:pPr>
        <w:jc w:val="center"/>
        <w:rPr>
          <w:szCs w:val="24"/>
        </w:rPr>
      </w:pPr>
    </w:p>
    <w:p w14:paraId="1AA1C5B4" w14:textId="77777777" w:rsidR="00C91F40" w:rsidRPr="00E80555" w:rsidRDefault="00C91F40" w:rsidP="0003275B">
      <w:pPr>
        <w:jc w:val="center"/>
        <w:rPr>
          <w:szCs w:val="24"/>
        </w:rPr>
      </w:pPr>
    </w:p>
    <w:p w14:paraId="31FE1802" w14:textId="77777777" w:rsidR="00C91F40" w:rsidRPr="00E80555" w:rsidRDefault="00C91F40" w:rsidP="0003275B">
      <w:pPr>
        <w:jc w:val="center"/>
        <w:rPr>
          <w:szCs w:val="24"/>
        </w:rPr>
      </w:pPr>
    </w:p>
    <w:p w14:paraId="1EEF1E94" w14:textId="16A04C7F" w:rsidR="00D84981" w:rsidRPr="00E80555" w:rsidRDefault="00D84981">
      <w:pPr>
        <w:rPr>
          <w:szCs w:val="24"/>
        </w:rPr>
      </w:pPr>
      <w:r w:rsidRPr="00E80555">
        <w:rPr>
          <w:szCs w:val="24"/>
        </w:rPr>
        <w:br w:type="page"/>
      </w:r>
    </w:p>
    <w:p w14:paraId="1A50A51D" w14:textId="54E4A294" w:rsidR="00E85D86" w:rsidRPr="00E80555" w:rsidRDefault="00E85D86" w:rsidP="00D37644">
      <w:pPr>
        <w:jc w:val="both"/>
        <w:rPr>
          <w:b/>
          <w:bCs/>
          <w:szCs w:val="24"/>
        </w:rPr>
      </w:pPr>
      <w:r w:rsidRPr="00E80555">
        <w:rPr>
          <w:b/>
          <w:bCs/>
          <w:szCs w:val="24"/>
        </w:rPr>
        <w:lastRenderedPageBreak/>
        <w:t>P</w:t>
      </w:r>
      <w:r w:rsidR="00C90A56" w:rsidRPr="00E80555">
        <w:rPr>
          <w:b/>
          <w:bCs/>
          <w:szCs w:val="24"/>
        </w:rPr>
        <w:t xml:space="preserve">ROPUESTA DE </w:t>
      </w:r>
      <w:r w:rsidR="00D654A4" w:rsidRPr="00E80555">
        <w:rPr>
          <w:b/>
          <w:bCs/>
          <w:szCs w:val="24"/>
        </w:rPr>
        <w:t>MODIFICACIÓN DEL TÍTULO V, DENOMINADO RÉGIMEN DE SUMINISTRO</w:t>
      </w:r>
      <w:r w:rsidR="00BD157F" w:rsidRPr="00E80555">
        <w:rPr>
          <w:b/>
          <w:bCs/>
          <w:szCs w:val="24"/>
        </w:rPr>
        <w:t xml:space="preserve"> DEL REGLAMENTO DE DISTRIBUCIÓN Y COMERCIALIZACIÓN DE ENERGÍA ELÉCTRICA</w:t>
      </w:r>
    </w:p>
    <w:p w14:paraId="5B5ACADC" w14:textId="3FEDEBE8" w:rsidR="0025725D" w:rsidRPr="00E80555" w:rsidRDefault="0025725D" w:rsidP="00A91D9F">
      <w:pPr>
        <w:pStyle w:val="Ttulo1"/>
        <w:rPr>
          <w:rFonts w:cs="Times New Roman"/>
          <w:color w:val="auto"/>
          <w:szCs w:val="24"/>
        </w:rPr>
      </w:pPr>
      <w:r w:rsidRPr="00E80555">
        <w:rPr>
          <w:rFonts w:cs="Times New Roman"/>
          <w:color w:val="auto"/>
          <w:szCs w:val="24"/>
        </w:rPr>
        <w:t>Exposición de motivos</w:t>
      </w:r>
    </w:p>
    <w:p w14:paraId="78EA65F9" w14:textId="00FF311E" w:rsidR="00E162EE" w:rsidRPr="00E162EE" w:rsidRDefault="00E162EE" w:rsidP="00AB2DFE">
      <w:pPr>
        <w:jc w:val="both"/>
        <w:rPr>
          <w:szCs w:val="24"/>
        </w:rPr>
      </w:pPr>
      <w:r w:rsidRPr="00E162EE">
        <w:rPr>
          <w:szCs w:val="24"/>
        </w:rPr>
        <w:t>En atención a la revisión tarifaria cuatrianual correspondiente al próximo periodo tarifario, y con el propósito de fortalecer y actualizar las disposiciones que regulan el Régimen de Suministro, se han identificado diversos aspectos que requieren aclaraciones, precisiones o ajustes normativos. En consecuencia, se proponen modificaciones a los artículos 4, 15, 16, 28,</w:t>
      </w:r>
      <w:r w:rsidR="001F5F71">
        <w:rPr>
          <w:szCs w:val="24"/>
        </w:rPr>
        <w:t xml:space="preserve"> 34,</w:t>
      </w:r>
      <w:r w:rsidRPr="00E162EE">
        <w:rPr>
          <w:szCs w:val="24"/>
        </w:rPr>
        <w:t xml:space="preserve"> 40, 41, 43, 57, 60, 62, 63</w:t>
      </w:r>
      <w:r w:rsidR="00C30C83">
        <w:rPr>
          <w:szCs w:val="24"/>
        </w:rPr>
        <w:t>, 64</w:t>
      </w:r>
      <w:r w:rsidRPr="00E162EE">
        <w:rPr>
          <w:szCs w:val="24"/>
        </w:rPr>
        <w:t xml:space="preserve"> y 71 del Título V del Reglamento de Distribución y Comercialización de Energía Eléctrica.</w:t>
      </w:r>
    </w:p>
    <w:p w14:paraId="535705DB" w14:textId="77777777" w:rsidR="00E162EE" w:rsidRPr="00D105AB" w:rsidRDefault="00E162EE" w:rsidP="00AB2DFE">
      <w:pPr>
        <w:jc w:val="both"/>
        <w:rPr>
          <w:b/>
          <w:bCs/>
          <w:szCs w:val="24"/>
        </w:rPr>
      </w:pPr>
      <w:r w:rsidRPr="00D105AB">
        <w:rPr>
          <w:b/>
          <w:bCs/>
          <w:szCs w:val="24"/>
        </w:rPr>
        <w:t>Condiciones para la conexión del suministro</w:t>
      </w:r>
    </w:p>
    <w:p w14:paraId="24E3B675" w14:textId="77777777" w:rsidR="009F4B35" w:rsidRPr="00E162EE" w:rsidRDefault="009F4B35" w:rsidP="009F4B35">
      <w:pPr>
        <w:jc w:val="both"/>
        <w:rPr>
          <w:szCs w:val="24"/>
        </w:rPr>
      </w:pPr>
      <w:r w:rsidRPr="00E162EE">
        <w:rPr>
          <w:szCs w:val="24"/>
        </w:rPr>
        <w:t>Se propone modificar el artículo 4</w:t>
      </w:r>
      <w:r>
        <w:rPr>
          <w:szCs w:val="24"/>
        </w:rPr>
        <w:t xml:space="preserve"> para eliminar de los</w:t>
      </w:r>
      <w:r w:rsidRPr="00E162EE">
        <w:rPr>
          <w:szCs w:val="24"/>
        </w:rPr>
        <w:t xml:space="preserve"> documentación aplicables a las solicitudes de nuevos suministros eléctricos</w:t>
      </w:r>
      <w:r>
        <w:rPr>
          <w:szCs w:val="24"/>
        </w:rPr>
        <w:t xml:space="preserve"> la verificación de deuda en otra empresa de distribución y el documento que acredite que está en trámite </w:t>
      </w:r>
      <w:r w:rsidRPr="005D1588">
        <w:rPr>
          <w:szCs w:val="24"/>
        </w:rPr>
        <w:t>la titularidad de un bien inmueble a nombre del cliente</w:t>
      </w:r>
      <w:r>
        <w:rPr>
          <w:szCs w:val="24"/>
        </w:rPr>
        <w:t>. Se incorpora que se pueda realizar en sitio la tramitación del servicio.</w:t>
      </w:r>
    </w:p>
    <w:p w14:paraId="2ADFA951" w14:textId="0118B003" w:rsidR="00E162EE" w:rsidRPr="00D105AB" w:rsidRDefault="00E162EE" w:rsidP="00AB2DFE">
      <w:pPr>
        <w:jc w:val="both"/>
        <w:rPr>
          <w:b/>
          <w:bCs/>
          <w:szCs w:val="24"/>
        </w:rPr>
      </w:pPr>
      <w:r w:rsidRPr="00D105AB">
        <w:rPr>
          <w:b/>
          <w:bCs/>
          <w:szCs w:val="24"/>
        </w:rPr>
        <w:t>Servicios temporales</w:t>
      </w:r>
    </w:p>
    <w:p w14:paraId="616F4125" w14:textId="0CEFCA3A" w:rsidR="00E162EE" w:rsidRPr="00E162EE" w:rsidRDefault="00E162EE" w:rsidP="00AB2DFE">
      <w:pPr>
        <w:jc w:val="both"/>
        <w:rPr>
          <w:szCs w:val="24"/>
        </w:rPr>
      </w:pPr>
      <w:r w:rsidRPr="00E162EE">
        <w:rPr>
          <w:szCs w:val="24"/>
        </w:rPr>
        <w:t xml:space="preserve">En el artículo 15, se propone </w:t>
      </w:r>
      <w:r w:rsidR="00A14FE6">
        <w:rPr>
          <w:szCs w:val="24"/>
        </w:rPr>
        <w:t xml:space="preserve">presentar </w:t>
      </w:r>
      <w:r w:rsidR="002571A2">
        <w:rPr>
          <w:szCs w:val="24"/>
        </w:rPr>
        <w:t>informes de avance</w:t>
      </w:r>
      <w:r w:rsidR="005B4A79">
        <w:rPr>
          <w:szCs w:val="24"/>
        </w:rPr>
        <w:t xml:space="preserve"> para</w:t>
      </w:r>
      <w:r w:rsidR="00A14FE6" w:rsidRPr="00AB2DFE">
        <w:rPr>
          <w:szCs w:val="24"/>
        </w:rPr>
        <w:t xml:space="preserve"> </w:t>
      </w:r>
      <w:r w:rsidRPr="00AB2DFE">
        <w:rPr>
          <w:szCs w:val="24"/>
        </w:rPr>
        <w:t>la prestación de servicios temporales</w:t>
      </w:r>
      <w:r w:rsidR="003822D1">
        <w:rPr>
          <w:szCs w:val="24"/>
        </w:rPr>
        <w:t xml:space="preserve"> </w:t>
      </w:r>
      <w:r w:rsidR="00391D36">
        <w:rPr>
          <w:szCs w:val="24"/>
        </w:rPr>
        <w:t>cuyo plazo se extienda por más de 90 días</w:t>
      </w:r>
      <w:r w:rsidRPr="00E162EE">
        <w:rPr>
          <w:szCs w:val="24"/>
        </w:rPr>
        <w:t>.</w:t>
      </w:r>
    </w:p>
    <w:p w14:paraId="0423158A" w14:textId="77777777" w:rsidR="00E162EE" w:rsidRPr="00D105AB" w:rsidRDefault="00E162EE" w:rsidP="00AB2DFE">
      <w:pPr>
        <w:jc w:val="both"/>
        <w:rPr>
          <w:b/>
          <w:bCs/>
          <w:szCs w:val="24"/>
        </w:rPr>
      </w:pPr>
      <w:r w:rsidRPr="00D105AB">
        <w:rPr>
          <w:b/>
          <w:bCs/>
          <w:szCs w:val="24"/>
        </w:rPr>
        <w:t>Cancelación del servicio</w:t>
      </w:r>
    </w:p>
    <w:p w14:paraId="50FE1497" w14:textId="7E6F59DF" w:rsidR="00E162EE" w:rsidRPr="00E162EE" w:rsidRDefault="00E162EE" w:rsidP="00AB2DFE">
      <w:pPr>
        <w:jc w:val="both"/>
        <w:rPr>
          <w:szCs w:val="24"/>
        </w:rPr>
      </w:pPr>
      <w:r w:rsidRPr="00E162EE">
        <w:rPr>
          <w:szCs w:val="24"/>
        </w:rPr>
        <w:t xml:space="preserve">El artículo 16 se modifica para </w:t>
      </w:r>
      <w:r w:rsidR="008536D6">
        <w:rPr>
          <w:szCs w:val="24"/>
        </w:rPr>
        <w:t>acortar el peri</w:t>
      </w:r>
      <w:r w:rsidR="00256C5E">
        <w:rPr>
          <w:szCs w:val="24"/>
        </w:rPr>
        <w:t>o</w:t>
      </w:r>
      <w:r w:rsidR="008536D6">
        <w:rPr>
          <w:szCs w:val="24"/>
        </w:rPr>
        <w:t>do de procesamiento de la solicitud</w:t>
      </w:r>
      <w:r w:rsidRPr="00E162EE">
        <w:rPr>
          <w:szCs w:val="24"/>
        </w:rPr>
        <w:t>.</w:t>
      </w:r>
    </w:p>
    <w:p w14:paraId="3E68CD4E" w14:textId="7F665A6C" w:rsidR="00E162EE" w:rsidRPr="00D105AB" w:rsidRDefault="00027EFF" w:rsidP="00AB2DFE">
      <w:pPr>
        <w:jc w:val="both"/>
        <w:rPr>
          <w:b/>
          <w:bCs/>
          <w:szCs w:val="24"/>
        </w:rPr>
      </w:pPr>
      <w:r>
        <w:rPr>
          <w:b/>
          <w:bCs/>
          <w:szCs w:val="24"/>
        </w:rPr>
        <w:t>D</w:t>
      </w:r>
      <w:r w:rsidR="00E162EE" w:rsidRPr="00D105AB">
        <w:rPr>
          <w:b/>
          <w:bCs/>
          <w:szCs w:val="24"/>
        </w:rPr>
        <w:t>epósito de garantía</w:t>
      </w:r>
    </w:p>
    <w:p w14:paraId="55990B1E" w14:textId="487D1F37" w:rsidR="00E162EE" w:rsidRDefault="00E162EE" w:rsidP="00AB2DFE">
      <w:pPr>
        <w:jc w:val="both"/>
        <w:rPr>
          <w:szCs w:val="24"/>
        </w:rPr>
      </w:pPr>
      <w:r w:rsidRPr="00E162EE">
        <w:rPr>
          <w:szCs w:val="24"/>
        </w:rPr>
        <w:t xml:space="preserve">Se ajusta el artículo 28 para </w:t>
      </w:r>
      <w:r w:rsidR="0074598A">
        <w:rPr>
          <w:szCs w:val="24"/>
        </w:rPr>
        <w:t xml:space="preserve">incorporar </w:t>
      </w:r>
      <w:r w:rsidRPr="00E162EE">
        <w:rPr>
          <w:szCs w:val="24"/>
        </w:rPr>
        <w:t xml:space="preserve">que las empresas distribuidoras emitan una </w:t>
      </w:r>
      <w:r w:rsidRPr="00AB2DFE">
        <w:rPr>
          <w:szCs w:val="24"/>
        </w:rPr>
        <w:t xml:space="preserve">certificación de buen historial de pago </w:t>
      </w:r>
      <w:r w:rsidR="00330262">
        <w:rPr>
          <w:szCs w:val="24"/>
        </w:rPr>
        <w:t xml:space="preserve">o de paz y salvo </w:t>
      </w:r>
      <w:r w:rsidRPr="00AB2DFE">
        <w:rPr>
          <w:szCs w:val="24"/>
        </w:rPr>
        <w:t>a solicitud del cliente</w:t>
      </w:r>
      <w:r w:rsidRPr="00E162EE">
        <w:rPr>
          <w:szCs w:val="24"/>
        </w:rPr>
        <w:t>, contribuyendo a la transparencia y la confianza en la relación comercial.</w:t>
      </w:r>
    </w:p>
    <w:p w14:paraId="03DE2A25" w14:textId="58121B80" w:rsidR="001F5F71" w:rsidRDefault="001F5F71" w:rsidP="00AB2DFE">
      <w:pPr>
        <w:jc w:val="both"/>
        <w:rPr>
          <w:b/>
          <w:bCs/>
          <w:szCs w:val="24"/>
        </w:rPr>
      </w:pPr>
      <w:r>
        <w:rPr>
          <w:b/>
          <w:bCs/>
          <w:szCs w:val="24"/>
        </w:rPr>
        <w:t>Facturación de</w:t>
      </w:r>
      <w:r w:rsidR="00451E47">
        <w:rPr>
          <w:b/>
          <w:bCs/>
          <w:szCs w:val="24"/>
        </w:rPr>
        <w:t xml:space="preserve"> </w:t>
      </w:r>
      <w:r w:rsidR="00C72BEB">
        <w:rPr>
          <w:b/>
          <w:bCs/>
          <w:szCs w:val="24"/>
        </w:rPr>
        <w:t>consumos en</w:t>
      </w:r>
      <w:r>
        <w:rPr>
          <w:b/>
          <w:bCs/>
          <w:szCs w:val="24"/>
        </w:rPr>
        <w:t xml:space="preserve"> f</w:t>
      </w:r>
      <w:r w:rsidRPr="00487475">
        <w:rPr>
          <w:b/>
          <w:szCs w:val="24"/>
        </w:rPr>
        <w:t>raude</w:t>
      </w:r>
      <w:r>
        <w:rPr>
          <w:b/>
          <w:bCs/>
          <w:szCs w:val="24"/>
        </w:rPr>
        <w:t xml:space="preserve"> debidamente comprobado</w:t>
      </w:r>
    </w:p>
    <w:p w14:paraId="1DDA0A3F" w14:textId="4BB1CD22" w:rsidR="001F5F71" w:rsidRPr="001F5F71" w:rsidRDefault="00FE50F0" w:rsidP="001F5F71">
      <w:pPr>
        <w:jc w:val="both"/>
        <w:rPr>
          <w:szCs w:val="24"/>
        </w:rPr>
      </w:pPr>
      <w:r>
        <w:rPr>
          <w:szCs w:val="24"/>
        </w:rPr>
        <w:t>En el artículo 34 s</w:t>
      </w:r>
      <w:r w:rsidR="001F5F71">
        <w:rPr>
          <w:szCs w:val="24"/>
        </w:rPr>
        <w:t>e establece que</w:t>
      </w:r>
      <w:r w:rsidR="006541FD">
        <w:rPr>
          <w:szCs w:val="24"/>
        </w:rPr>
        <w:t>,</w:t>
      </w:r>
      <w:r w:rsidR="001F5F71">
        <w:rPr>
          <w:szCs w:val="24"/>
        </w:rPr>
        <w:t xml:space="preserve"> p</w:t>
      </w:r>
      <w:r w:rsidR="001F5F71" w:rsidRPr="001F5F71">
        <w:rPr>
          <w:szCs w:val="24"/>
        </w:rPr>
        <w:t xml:space="preserve">ara el cobro de la energía dejada de facturar, </w:t>
      </w:r>
      <w:r w:rsidR="001F5F71">
        <w:rPr>
          <w:szCs w:val="24"/>
        </w:rPr>
        <w:t>l</w:t>
      </w:r>
      <w:r w:rsidR="001F5F71" w:rsidRPr="001F5F71">
        <w:rPr>
          <w:szCs w:val="24"/>
        </w:rPr>
        <w:t xml:space="preserve">a </w:t>
      </w:r>
      <w:r w:rsidR="009C1853">
        <w:rPr>
          <w:szCs w:val="24"/>
        </w:rPr>
        <w:t>e</w:t>
      </w:r>
      <w:r w:rsidR="001F5F71" w:rsidRPr="001F5F71">
        <w:rPr>
          <w:szCs w:val="24"/>
        </w:rPr>
        <w:t xml:space="preserve">mpresa </w:t>
      </w:r>
      <w:r w:rsidR="009C1853">
        <w:rPr>
          <w:szCs w:val="24"/>
        </w:rPr>
        <w:t>d</w:t>
      </w:r>
      <w:r w:rsidR="001F5F71" w:rsidRPr="001F5F71">
        <w:rPr>
          <w:szCs w:val="24"/>
        </w:rPr>
        <w:t xml:space="preserve">istribuidora podrá </w:t>
      </w:r>
      <w:r w:rsidR="00340542">
        <w:rPr>
          <w:szCs w:val="24"/>
        </w:rPr>
        <w:t>suscribir</w:t>
      </w:r>
      <w:r w:rsidR="00340542" w:rsidRPr="001F5F71">
        <w:rPr>
          <w:szCs w:val="24"/>
        </w:rPr>
        <w:t xml:space="preserve"> </w:t>
      </w:r>
      <w:r w:rsidR="001F5F71" w:rsidRPr="001F5F71">
        <w:rPr>
          <w:szCs w:val="24"/>
        </w:rPr>
        <w:t>convenios de pago</w:t>
      </w:r>
      <w:r w:rsidR="006541FD">
        <w:rPr>
          <w:szCs w:val="24"/>
        </w:rPr>
        <w:t xml:space="preserve"> a</w:t>
      </w:r>
      <w:r w:rsidR="00340542">
        <w:rPr>
          <w:szCs w:val="24"/>
        </w:rPr>
        <w:t xml:space="preserve"> fin de gestionar la recuperación de dichos montos y habilitar la correspondiente</w:t>
      </w:r>
      <w:r w:rsidR="006541FD">
        <w:rPr>
          <w:szCs w:val="24"/>
        </w:rPr>
        <w:t xml:space="preserve"> apertura </w:t>
      </w:r>
      <w:r w:rsidR="00CF094F">
        <w:rPr>
          <w:szCs w:val="24"/>
        </w:rPr>
        <w:t>en sus sistemas</w:t>
      </w:r>
      <w:r w:rsidR="001F5F71" w:rsidRPr="001F5F71">
        <w:rPr>
          <w:szCs w:val="24"/>
        </w:rPr>
        <w:t>.</w:t>
      </w:r>
    </w:p>
    <w:p w14:paraId="2455A90D" w14:textId="77777777" w:rsidR="00E162EE" w:rsidRPr="00D105AB" w:rsidRDefault="00E162EE" w:rsidP="00AB2DFE">
      <w:pPr>
        <w:jc w:val="both"/>
        <w:rPr>
          <w:b/>
          <w:bCs/>
          <w:szCs w:val="24"/>
        </w:rPr>
      </w:pPr>
      <w:r w:rsidRPr="00D105AB">
        <w:rPr>
          <w:b/>
          <w:bCs/>
          <w:szCs w:val="24"/>
        </w:rPr>
        <w:t>Información en la factura</w:t>
      </w:r>
    </w:p>
    <w:p w14:paraId="05430E80" w14:textId="605D9DCF" w:rsidR="00E162EE" w:rsidRPr="00E162EE" w:rsidRDefault="00E162EE" w:rsidP="00AB2DFE">
      <w:pPr>
        <w:jc w:val="both"/>
        <w:rPr>
          <w:szCs w:val="24"/>
        </w:rPr>
      </w:pPr>
      <w:r w:rsidRPr="00E162EE">
        <w:rPr>
          <w:szCs w:val="24"/>
        </w:rPr>
        <w:t xml:space="preserve">El artículo 40 se modifica para que la factura </w:t>
      </w:r>
      <w:r w:rsidR="00C36F69" w:rsidRPr="00E162EE">
        <w:rPr>
          <w:szCs w:val="24"/>
        </w:rPr>
        <w:t xml:space="preserve">de los clientes con sistemas de autoconsumo </w:t>
      </w:r>
      <w:r w:rsidRPr="00E162EE">
        <w:rPr>
          <w:szCs w:val="24"/>
        </w:rPr>
        <w:t xml:space="preserve">incluya el </w:t>
      </w:r>
      <w:r w:rsidRPr="00AB2DFE">
        <w:rPr>
          <w:szCs w:val="24"/>
        </w:rPr>
        <w:t>detalle de la energía inyectada y el excedente acumulado</w:t>
      </w:r>
      <w:r w:rsidRPr="00E162EE">
        <w:rPr>
          <w:szCs w:val="24"/>
        </w:rPr>
        <w:t>, promoviendo la transparencia en la medición de energía y el desarrollo de la generación distribuida.</w:t>
      </w:r>
    </w:p>
    <w:p w14:paraId="788FEF81" w14:textId="77777777" w:rsidR="00E162EE" w:rsidRPr="00D105AB" w:rsidRDefault="00E162EE" w:rsidP="00AB2DFE">
      <w:pPr>
        <w:jc w:val="both"/>
        <w:rPr>
          <w:b/>
          <w:bCs/>
          <w:szCs w:val="24"/>
        </w:rPr>
      </w:pPr>
      <w:r w:rsidRPr="00D105AB">
        <w:rPr>
          <w:b/>
          <w:bCs/>
          <w:szCs w:val="24"/>
        </w:rPr>
        <w:t>Lecturas estimadas y ajustes</w:t>
      </w:r>
    </w:p>
    <w:p w14:paraId="44E4321B" w14:textId="3ED6CF87" w:rsidR="00E162EE" w:rsidRPr="00E162EE" w:rsidRDefault="00E162EE" w:rsidP="00AB2DFE">
      <w:pPr>
        <w:jc w:val="both"/>
        <w:rPr>
          <w:szCs w:val="24"/>
        </w:rPr>
      </w:pPr>
      <w:r w:rsidRPr="00E162EE">
        <w:rPr>
          <w:szCs w:val="24"/>
        </w:rPr>
        <w:lastRenderedPageBreak/>
        <w:t>Se proponen ajustes en los artículos 41, y 43.</w:t>
      </w:r>
      <w:r w:rsidR="00946A11">
        <w:rPr>
          <w:szCs w:val="24"/>
        </w:rPr>
        <w:t xml:space="preserve"> </w:t>
      </w:r>
      <w:r w:rsidRPr="00E162EE">
        <w:rPr>
          <w:szCs w:val="24"/>
        </w:rPr>
        <w:t xml:space="preserve">En el artículo 41, se </w:t>
      </w:r>
      <w:r w:rsidRPr="00AB2DFE">
        <w:rPr>
          <w:szCs w:val="24"/>
        </w:rPr>
        <w:t>reduce el plazo de regularización de seis (6) a tres (3) meses</w:t>
      </w:r>
      <w:r w:rsidRPr="00E162EE">
        <w:rPr>
          <w:szCs w:val="24"/>
        </w:rPr>
        <w:t xml:space="preserve"> </w:t>
      </w:r>
      <w:r w:rsidR="00E86CA2">
        <w:rPr>
          <w:szCs w:val="24"/>
        </w:rPr>
        <w:t>para alinearlo con lo que establece la norma de calidad</w:t>
      </w:r>
      <w:r w:rsidRPr="00E162EE">
        <w:rPr>
          <w:szCs w:val="24"/>
        </w:rPr>
        <w:t xml:space="preserve"> y se establece la </w:t>
      </w:r>
      <w:r w:rsidRPr="00AB2DFE">
        <w:rPr>
          <w:szCs w:val="24"/>
        </w:rPr>
        <w:t xml:space="preserve">obligación de reportar </w:t>
      </w:r>
      <w:r w:rsidR="00D40513">
        <w:rPr>
          <w:szCs w:val="24"/>
        </w:rPr>
        <w:t xml:space="preserve">a la ASEP </w:t>
      </w:r>
      <w:r w:rsidRPr="00AB2DFE">
        <w:rPr>
          <w:szCs w:val="24"/>
        </w:rPr>
        <w:t xml:space="preserve">las </w:t>
      </w:r>
      <w:r w:rsidR="00EB487D">
        <w:rPr>
          <w:szCs w:val="24"/>
        </w:rPr>
        <w:t>estimaciones</w:t>
      </w:r>
      <w:r w:rsidRPr="00E162EE">
        <w:rPr>
          <w:szCs w:val="24"/>
        </w:rPr>
        <w:t xml:space="preserve"> efectuadas.</w:t>
      </w:r>
      <w:r w:rsidR="00946A11">
        <w:rPr>
          <w:szCs w:val="24"/>
        </w:rPr>
        <w:t xml:space="preserve"> </w:t>
      </w:r>
      <w:r w:rsidR="00545844">
        <w:rPr>
          <w:szCs w:val="24"/>
        </w:rPr>
        <w:t>Para e</w:t>
      </w:r>
      <w:r w:rsidRPr="00E162EE">
        <w:rPr>
          <w:szCs w:val="24"/>
        </w:rPr>
        <w:t xml:space="preserve">l artículo 43 </w:t>
      </w:r>
      <w:r w:rsidR="00545844">
        <w:rPr>
          <w:szCs w:val="24"/>
        </w:rPr>
        <w:t xml:space="preserve">se propone que cuando se realice una investigación </w:t>
      </w:r>
      <w:r w:rsidR="00F407DA">
        <w:rPr>
          <w:szCs w:val="24"/>
        </w:rPr>
        <w:t>por consumos superiores al 100% del consumo promedio,</w:t>
      </w:r>
      <w:r w:rsidR="00545844" w:rsidRPr="00E162EE">
        <w:rPr>
          <w:szCs w:val="24"/>
        </w:rPr>
        <w:t xml:space="preserve"> </w:t>
      </w:r>
      <w:r w:rsidRPr="00AB2DFE">
        <w:rPr>
          <w:szCs w:val="24"/>
        </w:rPr>
        <w:t>detallar las causas de alto consumo e informar al cliente</w:t>
      </w:r>
      <w:r w:rsidRPr="00E162EE">
        <w:rPr>
          <w:szCs w:val="24"/>
        </w:rPr>
        <w:t xml:space="preserve"> oportunamente</w:t>
      </w:r>
      <w:r w:rsidR="00FF73FA">
        <w:rPr>
          <w:szCs w:val="24"/>
        </w:rPr>
        <w:t>; y presentar un informe semestral sobre estas investigaciones</w:t>
      </w:r>
      <w:r w:rsidRPr="00E162EE">
        <w:rPr>
          <w:szCs w:val="24"/>
        </w:rPr>
        <w:t>, fortaleciendo la comunicación y la precisión en la facturación.</w:t>
      </w:r>
    </w:p>
    <w:p w14:paraId="01631499" w14:textId="77777777" w:rsidR="00E162EE" w:rsidRPr="00D105AB" w:rsidRDefault="00E162EE" w:rsidP="00AB2DFE">
      <w:pPr>
        <w:jc w:val="both"/>
        <w:rPr>
          <w:b/>
          <w:bCs/>
          <w:szCs w:val="24"/>
        </w:rPr>
      </w:pPr>
      <w:r w:rsidRPr="00D105AB">
        <w:rPr>
          <w:b/>
          <w:bCs/>
          <w:szCs w:val="24"/>
        </w:rPr>
        <w:t>Daños y perjuicios</w:t>
      </w:r>
    </w:p>
    <w:p w14:paraId="5119DC71" w14:textId="0CB88EA6" w:rsidR="00E162EE" w:rsidRPr="00E162EE" w:rsidRDefault="004765C9" w:rsidP="00AB2DFE">
      <w:pPr>
        <w:jc w:val="both"/>
        <w:rPr>
          <w:szCs w:val="24"/>
        </w:rPr>
      </w:pPr>
      <w:r>
        <w:rPr>
          <w:szCs w:val="24"/>
        </w:rPr>
        <w:t>Se introduce en el artículo</w:t>
      </w:r>
      <w:r w:rsidR="00E162EE" w:rsidRPr="00E162EE">
        <w:rPr>
          <w:szCs w:val="24"/>
        </w:rPr>
        <w:t xml:space="preserve"> 57 </w:t>
      </w:r>
      <w:r w:rsidR="00330262">
        <w:rPr>
          <w:szCs w:val="24"/>
        </w:rPr>
        <w:t xml:space="preserve">un plazo para que </w:t>
      </w:r>
      <w:r w:rsidR="00E569CA">
        <w:rPr>
          <w:szCs w:val="24"/>
        </w:rPr>
        <w:t xml:space="preserve">el </w:t>
      </w:r>
      <w:r w:rsidR="00330262">
        <w:rPr>
          <w:szCs w:val="24"/>
        </w:rPr>
        <w:t>responsable</w:t>
      </w:r>
      <w:r w:rsidR="00E569CA">
        <w:rPr>
          <w:szCs w:val="24"/>
        </w:rPr>
        <w:t xml:space="preserve"> de daños </w:t>
      </w:r>
      <w:r w:rsidR="00E57292">
        <w:rPr>
          <w:szCs w:val="24"/>
        </w:rPr>
        <w:t xml:space="preserve">en </w:t>
      </w:r>
      <w:r w:rsidR="00E57292" w:rsidRPr="00542005">
        <w:rPr>
          <w:szCs w:val="24"/>
        </w:rPr>
        <w:t>instalaciones y/o artefactos propiedad del cliente o usuario</w:t>
      </w:r>
      <w:r w:rsidR="00330262">
        <w:rPr>
          <w:szCs w:val="24"/>
        </w:rPr>
        <w:t xml:space="preserve"> realicen el </w:t>
      </w:r>
      <w:r>
        <w:rPr>
          <w:szCs w:val="24"/>
        </w:rPr>
        <w:t xml:space="preserve">reembolso </w:t>
      </w:r>
      <w:r w:rsidR="006E5A4D">
        <w:rPr>
          <w:szCs w:val="24"/>
        </w:rPr>
        <w:t>correspondiente</w:t>
      </w:r>
      <w:r w:rsidR="00E57292">
        <w:rPr>
          <w:szCs w:val="24"/>
        </w:rPr>
        <w:t xml:space="preserve"> a la empresa distribuidora.</w:t>
      </w:r>
    </w:p>
    <w:p w14:paraId="682AB0FE" w14:textId="7811E2FA" w:rsidR="00E162EE" w:rsidRPr="00D105AB" w:rsidRDefault="00E162EE" w:rsidP="00AB2DFE">
      <w:pPr>
        <w:jc w:val="both"/>
        <w:rPr>
          <w:b/>
          <w:bCs/>
          <w:szCs w:val="24"/>
        </w:rPr>
      </w:pPr>
      <w:r w:rsidRPr="00D105AB">
        <w:rPr>
          <w:b/>
          <w:bCs/>
          <w:szCs w:val="24"/>
        </w:rPr>
        <w:t>Plantas eléctricas de emergencia ≥</w:t>
      </w:r>
      <w:r w:rsidR="0029446E">
        <w:rPr>
          <w:b/>
          <w:bCs/>
          <w:szCs w:val="24"/>
        </w:rPr>
        <w:t xml:space="preserve"> </w:t>
      </w:r>
      <w:r w:rsidRPr="00D105AB">
        <w:rPr>
          <w:b/>
          <w:bCs/>
          <w:szCs w:val="24"/>
        </w:rPr>
        <w:t>15 kW</w:t>
      </w:r>
    </w:p>
    <w:p w14:paraId="48D4F2B0" w14:textId="010A7264" w:rsidR="00E162EE" w:rsidRPr="00E162EE" w:rsidRDefault="00E162EE" w:rsidP="00AB2DFE">
      <w:pPr>
        <w:jc w:val="both"/>
        <w:rPr>
          <w:szCs w:val="24"/>
        </w:rPr>
      </w:pPr>
      <w:r w:rsidRPr="00E162EE">
        <w:rPr>
          <w:szCs w:val="24"/>
        </w:rPr>
        <w:t>Se incorporan ajustes en los artículos 60, 62</w:t>
      </w:r>
      <w:r w:rsidR="00FF04CD">
        <w:rPr>
          <w:szCs w:val="24"/>
        </w:rPr>
        <w:t>,</w:t>
      </w:r>
      <w:r w:rsidRPr="00E162EE">
        <w:rPr>
          <w:szCs w:val="24"/>
        </w:rPr>
        <w:t xml:space="preserve"> 63 y </w:t>
      </w:r>
      <w:r w:rsidR="00FF04CD">
        <w:rPr>
          <w:szCs w:val="24"/>
        </w:rPr>
        <w:t>64</w:t>
      </w:r>
      <w:r w:rsidRPr="00E162EE">
        <w:rPr>
          <w:szCs w:val="24"/>
        </w:rPr>
        <w:t xml:space="preserve">, estableciendo que el </w:t>
      </w:r>
      <w:r w:rsidRPr="00AB2DFE">
        <w:rPr>
          <w:szCs w:val="24"/>
        </w:rPr>
        <w:t xml:space="preserve">cliente </w:t>
      </w:r>
      <w:r w:rsidR="007A294D">
        <w:rPr>
          <w:szCs w:val="24"/>
        </w:rPr>
        <w:t>es el responsable de</w:t>
      </w:r>
      <w:r w:rsidR="007A294D" w:rsidRPr="00AB2DFE">
        <w:rPr>
          <w:szCs w:val="24"/>
        </w:rPr>
        <w:t xml:space="preserve"> </w:t>
      </w:r>
      <w:r w:rsidRPr="00AB2DFE">
        <w:rPr>
          <w:szCs w:val="24"/>
        </w:rPr>
        <w:t>informar sobre la instalación de la planta eléctrica</w:t>
      </w:r>
      <w:r w:rsidR="00957121">
        <w:rPr>
          <w:szCs w:val="24"/>
        </w:rPr>
        <w:t xml:space="preserve">, que </w:t>
      </w:r>
      <w:r w:rsidRPr="00E162EE">
        <w:rPr>
          <w:szCs w:val="24"/>
        </w:rPr>
        <w:t xml:space="preserve">podrá </w:t>
      </w:r>
      <w:r w:rsidRPr="00AB2DFE">
        <w:rPr>
          <w:szCs w:val="24"/>
        </w:rPr>
        <w:t xml:space="preserve">elegir el método de devolución de </w:t>
      </w:r>
      <w:r w:rsidR="005B4F73" w:rsidRPr="00AB2DFE">
        <w:rPr>
          <w:szCs w:val="24"/>
        </w:rPr>
        <w:t>energía</w:t>
      </w:r>
      <w:r w:rsidR="00A170F9">
        <w:rPr>
          <w:szCs w:val="24"/>
        </w:rPr>
        <w:t>,</w:t>
      </w:r>
      <w:r w:rsidR="005B4F73" w:rsidDel="00A170F9">
        <w:rPr>
          <w:szCs w:val="24"/>
        </w:rPr>
        <w:t xml:space="preserve"> </w:t>
      </w:r>
      <w:r w:rsidRPr="00E162EE">
        <w:rPr>
          <w:szCs w:val="24"/>
        </w:rPr>
        <w:t xml:space="preserve">deberá </w:t>
      </w:r>
      <w:r w:rsidRPr="00AB2DFE">
        <w:rPr>
          <w:szCs w:val="24"/>
        </w:rPr>
        <w:t>suministrar la información técnica correspondiente</w:t>
      </w:r>
      <w:r w:rsidR="00A170F9">
        <w:rPr>
          <w:szCs w:val="24"/>
        </w:rPr>
        <w:t xml:space="preserve"> y solicitar el medidor</w:t>
      </w:r>
      <w:r w:rsidRPr="00E162EE">
        <w:rPr>
          <w:szCs w:val="24"/>
        </w:rPr>
        <w:t>, con el objetivo de garantizar la seguridad operativa y la correcta coordinación con la red de distribución.</w:t>
      </w:r>
    </w:p>
    <w:p w14:paraId="2C6F31CA" w14:textId="77777777" w:rsidR="00E162EE" w:rsidRPr="00D105AB" w:rsidRDefault="00E162EE" w:rsidP="00AB2DFE">
      <w:pPr>
        <w:jc w:val="both"/>
        <w:rPr>
          <w:b/>
          <w:bCs/>
          <w:szCs w:val="24"/>
        </w:rPr>
      </w:pPr>
      <w:r w:rsidRPr="00D105AB">
        <w:rPr>
          <w:b/>
          <w:bCs/>
          <w:szCs w:val="24"/>
        </w:rPr>
        <w:t>Medidores encerrados y condiciones previas</w:t>
      </w:r>
    </w:p>
    <w:p w14:paraId="40D5E2C8" w14:textId="4B5A1AB0" w:rsidR="00E162EE" w:rsidRPr="00E162EE" w:rsidRDefault="00E162EE" w:rsidP="00AB2DFE">
      <w:pPr>
        <w:jc w:val="both"/>
      </w:pPr>
      <w:r>
        <w:t xml:space="preserve">Finalmente, se modifica el artículo 71 para permitir que, </w:t>
      </w:r>
      <w:r w:rsidR="00AB2DFE">
        <w:t xml:space="preserve">después de agotar todas las vías posibles, </w:t>
      </w:r>
      <w:r>
        <w:t>si el cliente no reubica el medidor dentro de sesenta (60) días, la distribuidora pueda instalar un nuevo medidor en su infraestructura, trasladando los costos correspondientes</w:t>
      </w:r>
      <w:r w:rsidR="547D8F18">
        <w:t xml:space="preserve"> al cliente</w:t>
      </w:r>
      <w:r>
        <w:t>, de manera que se asegure la continuidad y seguridad del servicio eléctrico.</w:t>
      </w:r>
    </w:p>
    <w:p w14:paraId="257FFED8" w14:textId="77777777" w:rsidR="00A91D9F" w:rsidRPr="00E80555" w:rsidRDefault="00A91D9F" w:rsidP="00A91D9F">
      <w:pPr>
        <w:rPr>
          <w:szCs w:val="24"/>
        </w:rPr>
      </w:pPr>
    </w:p>
    <w:p w14:paraId="00960134" w14:textId="77777777" w:rsidR="00D9466A" w:rsidRPr="00E80555" w:rsidRDefault="00D9466A">
      <w:pPr>
        <w:rPr>
          <w:b/>
          <w:bCs/>
          <w:szCs w:val="24"/>
        </w:rPr>
      </w:pPr>
      <w:r w:rsidRPr="00E80555">
        <w:rPr>
          <w:b/>
          <w:bCs/>
          <w:szCs w:val="24"/>
        </w:rPr>
        <w:br w:type="page"/>
      </w:r>
    </w:p>
    <w:p w14:paraId="66D9E497" w14:textId="129F33E1" w:rsidR="00C91F40" w:rsidRPr="00E80555" w:rsidRDefault="25A8E71F" w:rsidP="00A91D9F">
      <w:pPr>
        <w:pStyle w:val="Ttulo1"/>
        <w:ind w:left="567" w:hanging="567"/>
        <w:jc w:val="both"/>
        <w:rPr>
          <w:rFonts w:cs="Times New Roman"/>
          <w:color w:val="auto"/>
          <w:szCs w:val="24"/>
        </w:rPr>
      </w:pPr>
      <w:r w:rsidRPr="00E80555">
        <w:rPr>
          <w:rFonts w:cs="Times New Roman"/>
          <w:color w:val="auto"/>
          <w:szCs w:val="24"/>
        </w:rPr>
        <w:lastRenderedPageBreak/>
        <w:t xml:space="preserve">PROPUESTA DE </w:t>
      </w:r>
      <w:r w:rsidR="00C91F40" w:rsidRPr="00E80555">
        <w:rPr>
          <w:rFonts w:cs="Times New Roman"/>
          <w:color w:val="auto"/>
          <w:szCs w:val="24"/>
        </w:rPr>
        <w:t>MODIFICACIÓN AL TÍTULO V DEL REGLAMENTO DE DISTRIBUCIÓN Y COMERCIALIZACIÓN</w:t>
      </w:r>
    </w:p>
    <w:p w14:paraId="5FCB7E88" w14:textId="77777777" w:rsidR="003722DC" w:rsidRPr="00F12D12" w:rsidRDefault="003722DC" w:rsidP="00EC0B04">
      <w:pPr>
        <w:pStyle w:val="Ttulo1"/>
        <w:numPr>
          <w:ilvl w:val="0"/>
          <w:numId w:val="16"/>
        </w:numPr>
        <w:spacing w:after="240"/>
        <w:rPr>
          <w:rFonts w:cs="Times New Roman"/>
          <w:b w:val="0"/>
          <w:color w:val="4472C4" w:themeColor="accent1"/>
          <w:szCs w:val="24"/>
        </w:rPr>
      </w:pPr>
      <w:r w:rsidRPr="00F12D12">
        <w:rPr>
          <w:rFonts w:cs="Times New Roman"/>
          <w:color w:val="4472C4" w:themeColor="accent1"/>
          <w:szCs w:val="24"/>
        </w:rPr>
        <w:t>Donde dice</w:t>
      </w:r>
    </w:p>
    <w:p w14:paraId="16AD4B62" w14:textId="7C77C162" w:rsidR="0095300D" w:rsidRPr="00E80555" w:rsidRDefault="002B3E17" w:rsidP="00C91F40">
      <w:pPr>
        <w:jc w:val="both"/>
        <w:rPr>
          <w:szCs w:val="24"/>
        </w:rPr>
      </w:pPr>
      <w:r w:rsidRPr="00E80555">
        <w:rPr>
          <w:b/>
          <w:bCs/>
          <w:szCs w:val="24"/>
        </w:rPr>
        <w:t>Artículo 4</w:t>
      </w:r>
      <w:r w:rsidRPr="00E80555">
        <w:rPr>
          <w:szCs w:val="24"/>
        </w:rPr>
        <w:t xml:space="preserve"> Condiciones para la conexión del suministro eléctrico son las siguientes: </w:t>
      </w:r>
    </w:p>
    <w:p w14:paraId="54F35494" w14:textId="62132190" w:rsidR="0095300D" w:rsidRPr="00D67F73" w:rsidRDefault="00D67F73" w:rsidP="00D67F73">
      <w:pPr>
        <w:pStyle w:val="Prrafodelista"/>
        <w:numPr>
          <w:ilvl w:val="0"/>
          <w:numId w:val="1"/>
        </w:numPr>
        <w:jc w:val="both"/>
        <w:rPr>
          <w:szCs w:val="24"/>
        </w:rPr>
      </w:pPr>
      <w:r w:rsidRPr="00D67F73">
        <w:rPr>
          <w:szCs w:val="24"/>
        </w:rPr>
        <w:t xml:space="preserve">No registrar deudas pendientes por suministro de energía eléctrica en cualquiera de la zona de concesión de las empresas distribuidoras u otro concepto resultante de este reglamento. La deuda por parte del cliente anterior del sitio donde se va a prestar el servicio no será motivo para condicionar, suspender o cortar el suministro al nuevo cliente. </w:t>
      </w:r>
      <w:r w:rsidR="0077705E" w:rsidRPr="0077705E">
        <w:t xml:space="preserve"> </w:t>
      </w:r>
      <w:r w:rsidR="0077705E" w:rsidRPr="00D67F73">
        <w:rPr>
          <w:szCs w:val="24"/>
        </w:rPr>
        <w:t>Las empresas de distribución pondrán a disposición de los clientes un formulario mediante el cual el cliente interesado en el nuevo suministro autorizará a la empresa de distribución a verificar si éste registra deudas pendientes por suministro de energía eléctrica en otras empresas distribuidoras. La empresa de distribución dispondrá de dos (2) días hábiles para verificar dicha información y notificar al cliente el resultado de la verificación.</w:t>
      </w:r>
    </w:p>
    <w:p w14:paraId="6512CC73" w14:textId="77777777" w:rsidR="00744EBA" w:rsidRPr="00E80555" w:rsidRDefault="002B3E17" w:rsidP="0095300D">
      <w:pPr>
        <w:pStyle w:val="Prrafodelista"/>
        <w:numPr>
          <w:ilvl w:val="0"/>
          <w:numId w:val="1"/>
        </w:numPr>
        <w:jc w:val="both"/>
        <w:rPr>
          <w:szCs w:val="24"/>
        </w:rPr>
      </w:pPr>
      <w:r w:rsidRPr="00E80555">
        <w:rPr>
          <w:szCs w:val="24"/>
        </w:rPr>
        <w:t xml:space="preserve">Firmar el correspondiente contrato de suministro, previa presentación de la siguiente documentación: </w:t>
      </w:r>
    </w:p>
    <w:p w14:paraId="1DA08E3A" w14:textId="7D927550" w:rsidR="00744EBA" w:rsidRPr="005D1588" w:rsidRDefault="005D1588" w:rsidP="005D1588">
      <w:pPr>
        <w:pStyle w:val="Prrafodelista"/>
        <w:numPr>
          <w:ilvl w:val="0"/>
          <w:numId w:val="2"/>
        </w:numPr>
        <w:jc w:val="both"/>
        <w:rPr>
          <w:szCs w:val="24"/>
        </w:rPr>
      </w:pPr>
      <w:r w:rsidRPr="005D1588">
        <w:rPr>
          <w:szCs w:val="24"/>
        </w:rPr>
        <w:t>Copia de la Escritura Pública o Certificación vigente (1 año), que acredite la propiedad, tenencia o traspaso de un bien inmueble a nombre del cliente, expedida por: el Registro Público, el Banco Hipotecario Nacional, el Ministerio de Vivienda (MIVIOT), la Autoridad Nacional de Administración de Tierras (ANATI), los Municipios (propietarios de un terreno) u otra entidad estatal (propietaria de un terreno) que acredite la propiedad, tenencia, traspaso o tramitación de la titularidad de un bien inmueble a nombre del cliente.</w:t>
      </w:r>
    </w:p>
    <w:p w14:paraId="34AECA1D" w14:textId="0B97B2AA" w:rsidR="00744EBA" w:rsidRPr="000D3E7F" w:rsidRDefault="000D3E7F" w:rsidP="000D3E7F">
      <w:pPr>
        <w:pStyle w:val="Prrafodelista"/>
        <w:numPr>
          <w:ilvl w:val="0"/>
          <w:numId w:val="2"/>
        </w:numPr>
        <w:jc w:val="both"/>
        <w:rPr>
          <w:szCs w:val="24"/>
        </w:rPr>
      </w:pPr>
      <w:r w:rsidRPr="000D3E7F">
        <w:rPr>
          <w:szCs w:val="24"/>
        </w:rPr>
        <w:t>En caso de no ser el titular del bien inmueble, deberá presentar adicionalmente al punto (i), copia simple de la cédula del tenedor del bien inmueble, copia del Contrato de Arrendamiento suscrito con el propietario o tenedor del bien inmueble.</w:t>
      </w:r>
    </w:p>
    <w:p w14:paraId="64D01AD0" w14:textId="77777777" w:rsidR="00015191" w:rsidRPr="00E80555" w:rsidRDefault="002B3E17" w:rsidP="00744EBA">
      <w:pPr>
        <w:pStyle w:val="Prrafodelista"/>
        <w:numPr>
          <w:ilvl w:val="0"/>
          <w:numId w:val="2"/>
        </w:numPr>
        <w:jc w:val="both"/>
        <w:rPr>
          <w:szCs w:val="24"/>
        </w:rPr>
      </w:pPr>
      <w:r w:rsidRPr="00E80555">
        <w:rPr>
          <w:szCs w:val="24"/>
        </w:rPr>
        <w:t>Copia de la cédula de identidad personal vigente o pasaporte vigente (o carné de la Dirección de Migración y Naturalización) en el caso de extranjeros para persona natural. Copia del certificado de Registro Público de la Sociedad Anónima para la persona jurídica.</w:t>
      </w:r>
      <w:r w:rsidR="00015191" w:rsidRPr="00E80555">
        <w:rPr>
          <w:szCs w:val="24"/>
        </w:rPr>
        <w:t xml:space="preserve"> </w:t>
      </w:r>
    </w:p>
    <w:p w14:paraId="1C149D38" w14:textId="77777777" w:rsidR="00015191" w:rsidRPr="00E80555" w:rsidRDefault="00015191" w:rsidP="00744EBA">
      <w:pPr>
        <w:pStyle w:val="Prrafodelista"/>
        <w:numPr>
          <w:ilvl w:val="0"/>
          <w:numId w:val="2"/>
        </w:numPr>
        <w:jc w:val="both"/>
        <w:rPr>
          <w:szCs w:val="24"/>
        </w:rPr>
      </w:pPr>
      <w:r w:rsidRPr="00E80555">
        <w:rPr>
          <w:szCs w:val="24"/>
        </w:rPr>
        <w:t>En caso de que la persona natural o el representante legal de una sociedad no pueda asistir personalmente a firmar el contrato de suministro, se deberá aportar:</w:t>
      </w:r>
    </w:p>
    <w:p w14:paraId="48E68CBC" w14:textId="3212E6F3" w:rsidR="00015191" w:rsidRPr="00E80555" w:rsidRDefault="00015191" w:rsidP="00015191">
      <w:pPr>
        <w:pStyle w:val="Prrafodelista"/>
        <w:numPr>
          <w:ilvl w:val="0"/>
          <w:numId w:val="3"/>
        </w:numPr>
        <w:jc w:val="both"/>
        <w:rPr>
          <w:szCs w:val="24"/>
        </w:rPr>
      </w:pPr>
      <w:r w:rsidRPr="00E80555">
        <w:rPr>
          <w:szCs w:val="24"/>
        </w:rPr>
        <w:t>Para persona natural: Carta de autorización original con</w:t>
      </w:r>
      <w:r w:rsidR="00BC1A88">
        <w:rPr>
          <w:szCs w:val="24"/>
        </w:rPr>
        <w:t xml:space="preserve"> un plazo no mayor de 6 meses de vigencia con</w:t>
      </w:r>
      <w:r w:rsidRPr="00E80555">
        <w:rPr>
          <w:szCs w:val="24"/>
        </w:rPr>
        <w:t xml:space="preserve"> copia de la cédula del otorgante y del autorizado.</w:t>
      </w:r>
    </w:p>
    <w:p w14:paraId="35B601D6" w14:textId="6B3AC6B9" w:rsidR="00015191" w:rsidRPr="00E80555" w:rsidRDefault="00015191" w:rsidP="00015191">
      <w:pPr>
        <w:pStyle w:val="Prrafodelista"/>
        <w:numPr>
          <w:ilvl w:val="0"/>
          <w:numId w:val="3"/>
        </w:numPr>
        <w:jc w:val="both"/>
        <w:rPr>
          <w:szCs w:val="24"/>
        </w:rPr>
      </w:pPr>
      <w:r w:rsidRPr="00E80555">
        <w:rPr>
          <w:szCs w:val="24"/>
        </w:rPr>
        <w:t xml:space="preserve">Para persona jurídica: Poder notariado y copia de cédula del poderdante (otorgante) y apoderado (autorizado). </w:t>
      </w:r>
    </w:p>
    <w:p w14:paraId="76F5221B" w14:textId="77777777" w:rsidR="00015191" w:rsidRPr="00E80555" w:rsidRDefault="00015191" w:rsidP="00744EBA">
      <w:pPr>
        <w:pStyle w:val="Prrafodelista"/>
        <w:numPr>
          <w:ilvl w:val="0"/>
          <w:numId w:val="2"/>
        </w:numPr>
        <w:jc w:val="both"/>
        <w:rPr>
          <w:szCs w:val="24"/>
        </w:rPr>
      </w:pPr>
      <w:r w:rsidRPr="00E80555">
        <w:rPr>
          <w:szCs w:val="24"/>
        </w:rPr>
        <w:lastRenderedPageBreak/>
        <w:t xml:space="preserve">En el caso de los inmuebles o instalaciones nuevas no ocupadas, además de los otros requisitos deberá el solicitante aportar: </w:t>
      </w:r>
    </w:p>
    <w:p w14:paraId="7B0D693F" w14:textId="77777777" w:rsidR="00015191" w:rsidRPr="00E80555" w:rsidRDefault="00015191" w:rsidP="00015191">
      <w:pPr>
        <w:pStyle w:val="Prrafodelista"/>
        <w:numPr>
          <w:ilvl w:val="0"/>
          <w:numId w:val="3"/>
        </w:numPr>
        <w:jc w:val="both"/>
        <w:rPr>
          <w:szCs w:val="24"/>
        </w:rPr>
      </w:pPr>
      <w:r w:rsidRPr="00E80555">
        <w:rPr>
          <w:szCs w:val="24"/>
        </w:rPr>
        <w:t>Copia del permiso de ocupación o certificado de ocupación para la instalación del suministro eléctrico emitido por el Municipio correspondiente.</w:t>
      </w:r>
    </w:p>
    <w:p w14:paraId="471CE90B" w14:textId="33615359" w:rsidR="00C91F40" w:rsidRPr="00E80555" w:rsidRDefault="00015191" w:rsidP="00994E37">
      <w:pPr>
        <w:pStyle w:val="Prrafodelista"/>
        <w:numPr>
          <w:ilvl w:val="0"/>
          <w:numId w:val="3"/>
        </w:numPr>
        <w:jc w:val="both"/>
        <w:rPr>
          <w:szCs w:val="24"/>
        </w:rPr>
      </w:pPr>
      <w:r w:rsidRPr="00994E37">
        <w:rPr>
          <w:szCs w:val="24"/>
        </w:rPr>
        <w:t xml:space="preserve">En caso de que el permiso o certificado de ocupación esté a nombre de una persona distinta al solicitante, </w:t>
      </w:r>
      <w:r w:rsidR="00994E37" w:rsidRPr="00994E37">
        <w:rPr>
          <w:szCs w:val="24"/>
        </w:rPr>
        <w:t>se deberá verificar en el Certificado de Registro Público (vigencia 1 año) que el mismo corresponda a la misma propiedad (finca) sobre la cual se solicita el servicio.</w:t>
      </w:r>
    </w:p>
    <w:p w14:paraId="5A47AF59" w14:textId="77777777" w:rsidR="003052F8" w:rsidRPr="00E80555" w:rsidRDefault="00D1711F" w:rsidP="003052F8">
      <w:pPr>
        <w:pStyle w:val="Prrafodelista"/>
        <w:numPr>
          <w:ilvl w:val="0"/>
          <w:numId w:val="2"/>
        </w:numPr>
        <w:jc w:val="both"/>
        <w:rPr>
          <w:szCs w:val="24"/>
        </w:rPr>
      </w:pPr>
      <w:r w:rsidRPr="00E80555">
        <w:rPr>
          <w:szCs w:val="24"/>
        </w:rPr>
        <w:t xml:space="preserve">En el caso de las comunidades que estén ubicadas, en áreas declaradas legalmente como protegidas, y que no cuenten con los documentos descritos en el acápite (i), deberán presentar una certificación de residencia emitida por el Juez de Paz o en su defecto del corregidor del lugar, y certificación de consentimiento emitida por la Dirección de Áreas Protegidas y Vida Silvestre del Ministerio de Ambiente. </w:t>
      </w:r>
    </w:p>
    <w:p w14:paraId="4D26805F" w14:textId="77777777" w:rsidR="003052F8" w:rsidRPr="00E80555" w:rsidRDefault="00D1711F" w:rsidP="003052F8">
      <w:pPr>
        <w:pStyle w:val="Prrafodelista"/>
        <w:numPr>
          <w:ilvl w:val="0"/>
          <w:numId w:val="2"/>
        </w:numPr>
        <w:jc w:val="both"/>
        <w:rPr>
          <w:szCs w:val="24"/>
        </w:rPr>
      </w:pPr>
      <w:r w:rsidRPr="00E80555">
        <w:rPr>
          <w:szCs w:val="24"/>
        </w:rPr>
        <w:t xml:space="preserve">En el caso de las comunidades comarcales, que no cuenten con los documentos descritos en el acápite (i), deberán presentar una certificación de residencia emitida por el Juez de Paz o en su defecto del corregidor del lugar, y certificación de consentimiento emitida por la dirigencia tradicional comunitaria (reconocida oficialmente) que corresponda. </w:t>
      </w:r>
    </w:p>
    <w:p w14:paraId="721EF12A" w14:textId="77777777" w:rsidR="005D76F5" w:rsidRPr="00E80555" w:rsidRDefault="00D1711F" w:rsidP="003052F8">
      <w:pPr>
        <w:pStyle w:val="Prrafodelista"/>
        <w:numPr>
          <w:ilvl w:val="0"/>
          <w:numId w:val="2"/>
        </w:numPr>
        <w:jc w:val="both"/>
        <w:rPr>
          <w:szCs w:val="24"/>
        </w:rPr>
      </w:pPr>
      <w:r w:rsidRPr="00E80555">
        <w:rPr>
          <w:szCs w:val="24"/>
        </w:rPr>
        <w:t xml:space="preserve">En el caso de las comunidades rurales que se vean beneficiadas por proyectos de electrificación realizados por la OER en conjunto con las distribuidoras, y que no cuenten con los documentos descritos en el acápite (i), deberán presentar una certificación de residencia emitida por el Juez de Paz o en su defecto del corregidor del lugar, y certificación escrita de la Oficina de Electrificación Rural donde se haga constar el desarrollo del proyecto de electrificación correspondiente. </w:t>
      </w:r>
    </w:p>
    <w:p w14:paraId="12928AEB" w14:textId="77777777" w:rsidR="005D76F5" w:rsidRDefault="00D1711F" w:rsidP="003052F8">
      <w:pPr>
        <w:pStyle w:val="Prrafodelista"/>
        <w:numPr>
          <w:ilvl w:val="0"/>
          <w:numId w:val="2"/>
        </w:numPr>
        <w:jc w:val="both"/>
        <w:rPr>
          <w:szCs w:val="24"/>
        </w:rPr>
      </w:pPr>
      <w:r w:rsidRPr="00E80555">
        <w:rPr>
          <w:szCs w:val="24"/>
        </w:rPr>
        <w:t>En los casos de clientes tales como construcciones, exposiciones, ferias, circos, etc. que requieran un suministro de carácter temporal, deberán presentar el permiso de estructura temporal emitido por el municipio correspondiente.</w:t>
      </w:r>
    </w:p>
    <w:p w14:paraId="72C9B117" w14:textId="3E49B586" w:rsidR="00367FD5" w:rsidRPr="00367FD5" w:rsidRDefault="00367FD5" w:rsidP="00367FD5">
      <w:pPr>
        <w:pStyle w:val="Prrafodelista"/>
        <w:numPr>
          <w:ilvl w:val="0"/>
          <w:numId w:val="2"/>
        </w:numPr>
        <w:jc w:val="both"/>
        <w:rPr>
          <w:szCs w:val="24"/>
        </w:rPr>
      </w:pPr>
      <w:r w:rsidRPr="00367FD5">
        <w:rPr>
          <w:szCs w:val="24"/>
        </w:rPr>
        <w:t>En los casos de suministro para letreros, vallas, fuentes de poder, antenas, puntos de recarga eléctrica, luminarias de canchas deportivas públicas, etc. que no requieran un permiso de ocupación para el debido suministro, deberán presentar en lugar del permiso una copia de certificación eléctrica por los bomberos, siempre y cuando se cumpla las normas de seguridad eléctrica vigentes.</w:t>
      </w:r>
    </w:p>
    <w:p w14:paraId="5D5D0471" w14:textId="4728439C" w:rsidR="000548CB" w:rsidRPr="00E80555" w:rsidRDefault="000548CB" w:rsidP="005D76F5">
      <w:pPr>
        <w:pStyle w:val="Prrafodelista"/>
        <w:numPr>
          <w:ilvl w:val="0"/>
          <w:numId w:val="1"/>
        </w:numPr>
        <w:jc w:val="both"/>
        <w:rPr>
          <w:szCs w:val="24"/>
        </w:rPr>
      </w:pPr>
      <w:r w:rsidRPr="00E80555">
        <w:rPr>
          <w:szCs w:val="24"/>
        </w:rPr>
        <w:t>Presentar certificación de buen historial de pago o referencias de crédito recientes, es decir que no exceda un periodo de 5 años de la fecha en que se realiza la solicitud. En ausencia de éstas, el solicitante deberá pagar el depósito de garantía establecido en el presente reglamento.</w:t>
      </w:r>
    </w:p>
    <w:p w14:paraId="0B4590F9" w14:textId="34DAFAB8" w:rsidR="000548CB" w:rsidRPr="00E80555" w:rsidRDefault="000548CB" w:rsidP="005D76F5">
      <w:pPr>
        <w:pStyle w:val="Prrafodelista"/>
        <w:numPr>
          <w:ilvl w:val="0"/>
          <w:numId w:val="1"/>
        </w:numPr>
        <w:jc w:val="both"/>
        <w:rPr>
          <w:szCs w:val="24"/>
        </w:rPr>
      </w:pPr>
      <w:r w:rsidRPr="00E80555">
        <w:rPr>
          <w:szCs w:val="24"/>
        </w:rPr>
        <w:lastRenderedPageBreak/>
        <w:t xml:space="preserve">Pagar el derecho de conexión de acuerdo </w:t>
      </w:r>
      <w:r w:rsidR="005C3DDD">
        <w:rPr>
          <w:szCs w:val="24"/>
        </w:rPr>
        <w:t xml:space="preserve">con el </w:t>
      </w:r>
      <w:r w:rsidRPr="00E80555">
        <w:rPr>
          <w:szCs w:val="24"/>
        </w:rPr>
        <w:t xml:space="preserve">pliego tarifario vigente. </w:t>
      </w:r>
    </w:p>
    <w:p w14:paraId="5304941A" w14:textId="77777777" w:rsidR="00543AA5" w:rsidRDefault="00543AA5" w:rsidP="005D76F5">
      <w:pPr>
        <w:pStyle w:val="Prrafodelista"/>
        <w:numPr>
          <w:ilvl w:val="0"/>
          <w:numId w:val="1"/>
        </w:numPr>
        <w:jc w:val="both"/>
        <w:rPr>
          <w:szCs w:val="24"/>
        </w:rPr>
      </w:pPr>
      <w:r w:rsidRPr="00543AA5">
        <w:rPr>
          <w:szCs w:val="24"/>
        </w:rPr>
        <w:t>El punto de interconexión (donde se encuentra el medidor), debe estar ubicado en un sitio accesible a la empresa de distribución de acuerdo con las normas de construcción, y su conexión con las instalaciones del cliente deben cumplir con las normas de seguridad para media tensión y baja tensión vigentes.</w:t>
      </w:r>
    </w:p>
    <w:p w14:paraId="69970C96" w14:textId="22E55542" w:rsidR="000548CB" w:rsidRPr="00E80555" w:rsidRDefault="000548CB" w:rsidP="005D76F5">
      <w:pPr>
        <w:pStyle w:val="Prrafodelista"/>
        <w:numPr>
          <w:ilvl w:val="0"/>
          <w:numId w:val="1"/>
        </w:numPr>
        <w:jc w:val="both"/>
        <w:rPr>
          <w:szCs w:val="24"/>
        </w:rPr>
      </w:pPr>
      <w:r w:rsidRPr="00E80555">
        <w:rPr>
          <w:szCs w:val="24"/>
        </w:rPr>
        <w:t>El cliente será responsable sobre la propiedad en la que se instalará el suministro ante cualquier reclamo o conflicto de la propiedad entre terceros o particulares.</w:t>
      </w:r>
    </w:p>
    <w:p w14:paraId="29D6980D" w14:textId="4FD13F6E" w:rsidR="000548CB" w:rsidRPr="00E80555" w:rsidRDefault="000548CB" w:rsidP="005D76F5">
      <w:pPr>
        <w:pStyle w:val="Prrafodelista"/>
        <w:numPr>
          <w:ilvl w:val="0"/>
          <w:numId w:val="1"/>
        </w:numPr>
        <w:jc w:val="both"/>
        <w:rPr>
          <w:szCs w:val="24"/>
        </w:rPr>
      </w:pPr>
      <w:r w:rsidRPr="00E80555">
        <w:rPr>
          <w:szCs w:val="24"/>
        </w:rPr>
        <w:t xml:space="preserve">Las solicitudes del servicio eléctrico podrán realizarse en las agencias autorizadas de la empresa distribuidora o por vía electrónica. En el caso de que sea por medio electrónico toda la documentación podrá enviarse a través de este mismo medio, al igual que la certificación de los pagos, de acuerdo </w:t>
      </w:r>
      <w:r w:rsidR="00E11DD9">
        <w:rPr>
          <w:szCs w:val="24"/>
        </w:rPr>
        <w:t>con</w:t>
      </w:r>
      <w:r w:rsidRPr="00E80555">
        <w:rPr>
          <w:szCs w:val="24"/>
        </w:rPr>
        <w:t xml:space="preserve"> lo establecido en el Capítulo V.15 de este Reglamento”</w:t>
      </w:r>
    </w:p>
    <w:p w14:paraId="6C0FA868" w14:textId="27D1A8E6" w:rsidR="001B6F3B" w:rsidRPr="00E80555" w:rsidRDefault="001B6F3B" w:rsidP="001B6F3B">
      <w:pPr>
        <w:jc w:val="both"/>
        <w:rPr>
          <w:b/>
          <w:bCs/>
          <w:szCs w:val="24"/>
          <w:u w:val="single"/>
        </w:rPr>
      </w:pPr>
      <w:r w:rsidRPr="00E80555">
        <w:rPr>
          <w:b/>
          <w:bCs/>
          <w:szCs w:val="24"/>
          <w:u w:val="single"/>
        </w:rPr>
        <w:t>Debe decir</w:t>
      </w:r>
    </w:p>
    <w:p w14:paraId="656293B2" w14:textId="2B31E8E5" w:rsidR="001B6F3B" w:rsidRPr="00E80555" w:rsidRDefault="001B6F3B" w:rsidP="001B6F3B">
      <w:pPr>
        <w:jc w:val="both"/>
        <w:rPr>
          <w:szCs w:val="24"/>
        </w:rPr>
      </w:pPr>
      <w:r w:rsidRPr="00E80555">
        <w:rPr>
          <w:b/>
          <w:bCs/>
          <w:szCs w:val="24"/>
        </w:rPr>
        <w:t>Artículo 4</w:t>
      </w:r>
      <w:r w:rsidRPr="00E80555">
        <w:rPr>
          <w:szCs w:val="24"/>
        </w:rPr>
        <w:t xml:space="preserve"> Condiciones para la conexión del suministro eléctrico son las siguientes: </w:t>
      </w:r>
    </w:p>
    <w:p w14:paraId="11C913CB" w14:textId="34A5CE19" w:rsidR="001B6F3B" w:rsidRPr="00E80555" w:rsidRDefault="001B6F3B" w:rsidP="00E64654">
      <w:pPr>
        <w:pStyle w:val="Prrafodelista"/>
        <w:numPr>
          <w:ilvl w:val="0"/>
          <w:numId w:val="5"/>
        </w:numPr>
        <w:jc w:val="both"/>
        <w:rPr>
          <w:szCs w:val="24"/>
        </w:rPr>
      </w:pPr>
      <w:r w:rsidRPr="00E80555">
        <w:rPr>
          <w:szCs w:val="24"/>
        </w:rPr>
        <w:t xml:space="preserve">No registrar deudas pendientes por suministro de energía eléctrica </w:t>
      </w:r>
      <w:r w:rsidR="00133470" w:rsidRPr="00CC6DF3">
        <w:rPr>
          <w:szCs w:val="24"/>
        </w:rPr>
        <w:t xml:space="preserve">en cualquiera de la zona de concesión de las empresas distribuidoras </w:t>
      </w:r>
      <w:r w:rsidRPr="00E80555">
        <w:rPr>
          <w:szCs w:val="24"/>
        </w:rPr>
        <w:t>u otro concepto resultante de este reglamento. La deuda por parte del cliente anterior del sitio donde se va a prestar el servicio no será motivo para condicionar, suspender o cortar el suministro al nuevo cliente.</w:t>
      </w:r>
      <w:r w:rsidR="0089511F" w:rsidRPr="0089511F">
        <w:t xml:space="preserve"> </w:t>
      </w:r>
    </w:p>
    <w:p w14:paraId="6A091D73" w14:textId="77777777" w:rsidR="001B6F3B" w:rsidRPr="00E80555" w:rsidRDefault="001B6F3B" w:rsidP="00E64654">
      <w:pPr>
        <w:pStyle w:val="Prrafodelista"/>
        <w:numPr>
          <w:ilvl w:val="0"/>
          <w:numId w:val="5"/>
        </w:numPr>
        <w:jc w:val="both"/>
        <w:rPr>
          <w:szCs w:val="24"/>
        </w:rPr>
      </w:pPr>
      <w:r w:rsidRPr="00E80555">
        <w:rPr>
          <w:szCs w:val="24"/>
        </w:rPr>
        <w:t xml:space="preserve">Firmar el correspondiente contrato de suministro, previa presentación de la siguiente documentación: </w:t>
      </w:r>
    </w:p>
    <w:p w14:paraId="17F0AC1E" w14:textId="26DF3CA8" w:rsidR="007D4038" w:rsidRPr="00972C52" w:rsidRDefault="00625E94" w:rsidP="00A56D4F">
      <w:pPr>
        <w:pStyle w:val="Prrafodelista"/>
        <w:numPr>
          <w:ilvl w:val="0"/>
          <w:numId w:val="6"/>
        </w:numPr>
        <w:jc w:val="both"/>
      </w:pPr>
      <w:r>
        <w:t>Copia de la Escritura Pública o Certificación vigente (</w:t>
      </w:r>
      <w:r w:rsidR="000F066B" w:rsidRPr="005D1588">
        <w:rPr>
          <w:szCs w:val="24"/>
        </w:rPr>
        <w:t>1 año</w:t>
      </w:r>
      <w:r>
        <w:t>)</w:t>
      </w:r>
      <w:r w:rsidR="00892F7F">
        <w:t xml:space="preserve">, </w:t>
      </w:r>
      <w:r>
        <w:t xml:space="preserve">expedida por el Registro Público, el Banco Hipotecario Nacional, el Ministerio de Vivienda (MVIOT), la Autoridad Nacional de Administración de Tierras (ANATI), los Municipios (propietarios de un terreno) u otra entidad estatal (propietaria de un terreno) que acredite la propiedad </w:t>
      </w:r>
      <w:r w:rsidR="7CFED830" w:rsidRPr="00F7535B">
        <w:rPr>
          <w:color w:val="C00000"/>
        </w:rPr>
        <w:t xml:space="preserve">o </w:t>
      </w:r>
      <w:r w:rsidR="6C006F5E" w:rsidRPr="00F7535B">
        <w:rPr>
          <w:color w:val="C00000"/>
        </w:rPr>
        <w:t>derecho posesorio</w:t>
      </w:r>
      <w:r w:rsidRPr="00F7535B">
        <w:rPr>
          <w:color w:val="C00000"/>
        </w:rPr>
        <w:t xml:space="preserve"> </w:t>
      </w:r>
      <w:r>
        <w:t>de un bien inmueble a nombre del cliente.</w:t>
      </w:r>
    </w:p>
    <w:p w14:paraId="125395D0" w14:textId="41A0010C" w:rsidR="00A56D4F" w:rsidRPr="00E80555" w:rsidRDefault="001B6F3B" w:rsidP="00A56D4F">
      <w:pPr>
        <w:pStyle w:val="Prrafodelista"/>
        <w:numPr>
          <w:ilvl w:val="0"/>
          <w:numId w:val="6"/>
        </w:numPr>
        <w:jc w:val="both"/>
        <w:rPr>
          <w:szCs w:val="24"/>
        </w:rPr>
      </w:pPr>
      <w:r w:rsidRPr="00E80555">
        <w:rPr>
          <w:szCs w:val="24"/>
        </w:rPr>
        <w:t>En caso de no ser el titular del bien inmueble, deberá presentar</w:t>
      </w:r>
      <w:r w:rsidR="000D04F4" w:rsidRPr="00E80555">
        <w:rPr>
          <w:szCs w:val="24"/>
        </w:rPr>
        <w:t xml:space="preserve"> </w:t>
      </w:r>
      <w:r w:rsidR="000D04F4" w:rsidRPr="00CC6DF3">
        <w:rPr>
          <w:szCs w:val="24"/>
          <w:lang w:val="es-ES"/>
        </w:rPr>
        <w:t xml:space="preserve">adicionalmente al punto (i), copia simple de la cédula del tenedor del bien inmueble, </w:t>
      </w:r>
      <w:r w:rsidRPr="00E80555">
        <w:rPr>
          <w:szCs w:val="24"/>
        </w:rPr>
        <w:t xml:space="preserve">copia del Contrato de Arrendamiento suscrito con el propietario o tenedor del bien inmueble. </w:t>
      </w:r>
    </w:p>
    <w:p w14:paraId="304AC835" w14:textId="77777777" w:rsidR="00A56D4F" w:rsidRPr="00E80555" w:rsidRDefault="001B6F3B" w:rsidP="00A56D4F">
      <w:pPr>
        <w:pStyle w:val="Prrafodelista"/>
        <w:numPr>
          <w:ilvl w:val="0"/>
          <w:numId w:val="6"/>
        </w:numPr>
        <w:jc w:val="both"/>
        <w:rPr>
          <w:szCs w:val="24"/>
        </w:rPr>
      </w:pPr>
      <w:r w:rsidRPr="00E80555">
        <w:rPr>
          <w:szCs w:val="24"/>
        </w:rPr>
        <w:t xml:space="preserve">Copia de la cédula de identidad personal vigente o pasaporte vigente (o carné de la Dirección de Migración y Naturalización) en el caso de extranjeros para persona natural. Copia del certificado de Registro Público de la Sociedad Anónima para la persona jurídica. </w:t>
      </w:r>
    </w:p>
    <w:p w14:paraId="789ADD5A" w14:textId="5ED18DB0" w:rsidR="00C161BD" w:rsidRPr="00A61363" w:rsidRDefault="00C161BD" w:rsidP="00A61363">
      <w:pPr>
        <w:pStyle w:val="Prrafodelista"/>
        <w:numPr>
          <w:ilvl w:val="0"/>
          <w:numId w:val="6"/>
        </w:numPr>
        <w:jc w:val="both"/>
        <w:rPr>
          <w:szCs w:val="24"/>
        </w:rPr>
      </w:pPr>
      <w:r w:rsidRPr="00A61363">
        <w:rPr>
          <w:szCs w:val="24"/>
        </w:rPr>
        <w:t>En caso de que la persona natural o el representante legal de una sociedad no pueda asistir personalmente a firmar el contrato de suministro, se deberá aportar:</w:t>
      </w:r>
    </w:p>
    <w:p w14:paraId="682ABE67" w14:textId="77777777" w:rsidR="00C161BD" w:rsidRPr="00E80555" w:rsidRDefault="00C161BD" w:rsidP="00C161BD">
      <w:pPr>
        <w:pStyle w:val="Prrafodelista"/>
        <w:numPr>
          <w:ilvl w:val="0"/>
          <w:numId w:val="3"/>
        </w:numPr>
        <w:jc w:val="both"/>
        <w:rPr>
          <w:szCs w:val="24"/>
        </w:rPr>
      </w:pPr>
      <w:r w:rsidRPr="00E80555">
        <w:rPr>
          <w:szCs w:val="24"/>
        </w:rPr>
        <w:t>Para persona natural: Carta de autorización original con</w:t>
      </w:r>
      <w:r>
        <w:rPr>
          <w:szCs w:val="24"/>
        </w:rPr>
        <w:t xml:space="preserve"> un plazo no mayor de 6 meses de vigencia con</w:t>
      </w:r>
      <w:r w:rsidRPr="00E80555">
        <w:rPr>
          <w:szCs w:val="24"/>
        </w:rPr>
        <w:t xml:space="preserve"> copia de la cédula del otorgante y del autorizado.</w:t>
      </w:r>
    </w:p>
    <w:p w14:paraId="4AD7673C" w14:textId="4209EAD8" w:rsidR="00C161BD" w:rsidRPr="00E80555" w:rsidRDefault="00C161BD" w:rsidP="00C161BD">
      <w:pPr>
        <w:pStyle w:val="Prrafodelista"/>
        <w:numPr>
          <w:ilvl w:val="0"/>
          <w:numId w:val="3"/>
        </w:numPr>
        <w:jc w:val="both"/>
      </w:pPr>
      <w:r>
        <w:lastRenderedPageBreak/>
        <w:t xml:space="preserve">Para persona jurídica: Poder notariado y copia de cédula del poderdante (otorgante) y apoderado (autorizado). </w:t>
      </w:r>
    </w:p>
    <w:p w14:paraId="44A03F44" w14:textId="77777777" w:rsidR="00C161BD" w:rsidRPr="00E80555" w:rsidRDefault="00C161BD" w:rsidP="00A61363">
      <w:pPr>
        <w:pStyle w:val="Prrafodelista"/>
        <w:numPr>
          <w:ilvl w:val="0"/>
          <w:numId w:val="6"/>
        </w:numPr>
        <w:jc w:val="both"/>
        <w:rPr>
          <w:szCs w:val="24"/>
        </w:rPr>
      </w:pPr>
      <w:r w:rsidRPr="00E80555">
        <w:rPr>
          <w:szCs w:val="24"/>
        </w:rPr>
        <w:t xml:space="preserve">En el caso de los inmuebles o instalaciones nuevas no ocupadas, además de los otros requisitos deberá el solicitante aportar: </w:t>
      </w:r>
    </w:p>
    <w:p w14:paraId="52A7DEB5" w14:textId="77777777" w:rsidR="00C161BD" w:rsidRPr="00E80555" w:rsidRDefault="00C161BD" w:rsidP="00C161BD">
      <w:pPr>
        <w:pStyle w:val="Prrafodelista"/>
        <w:numPr>
          <w:ilvl w:val="0"/>
          <w:numId w:val="3"/>
        </w:numPr>
        <w:jc w:val="both"/>
        <w:rPr>
          <w:szCs w:val="24"/>
        </w:rPr>
      </w:pPr>
      <w:r w:rsidRPr="00E80555">
        <w:rPr>
          <w:szCs w:val="24"/>
        </w:rPr>
        <w:t>Copia del permiso de ocupación o certificado de ocupación para la instalación del suministro eléctrico emitido por el Municipio correspondiente.</w:t>
      </w:r>
    </w:p>
    <w:p w14:paraId="5D4CC7A8" w14:textId="6FD681F0" w:rsidR="00C161BD" w:rsidRPr="00E80555" w:rsidRDefault="00C161BD" w:rsidP="00C161BD">
      <w:pPr>
        <w:pStyle w:val="Prrafodelista"/>
        <w:numPr>
          <w:ilvl w:val="0"/>
          <w:numId w:val="3"/>
        </w:numPr>
        <w:jc w:val="both"/>
      </w:pPr>
      <w:r>
        <w:t xml:space="preserve">En caso de que el permiso o certificado de ocupación esté a nombre de una persona distinta al solicitante, se deberá verificar en el Certificado de Registro Público (vigencia </w:t>
      </w:r>
      <w:r w:rsidDel="00BC6573">
        <w:t>1 año</w:t>
      </w:r>
      <w:r>
        <w:t>) que el mismo corresponda a la misma propiedad (finca) sobre la cual se solicita el servicio.</w:t>
      </w:r>
    </w:p>
    <w:p w14:paraId="65946F2A" w14:textId="77777777" w:rsidR="00C161BD" w:rsidRPr="00E80555" w:rsidRDefault="00C161BD" w:rsidP="00A61363">
      <w:pPr>
        <w:pStyle w:val="Prrafodelista"/>
        <w:numPr>
          <w:ilvl w:val="0"/>
          <w:numId w:val="6"/>
        </w:numPr>
        <w:jc w:val="both"/>
        <w:rPr>
          <w:szCs w:val="24"/>
        </w:rPr>
      </w:pPr>
      <w:r w:rsidRPr="00E80555">
        <w:rPr>
          <w:szCs w:val="24"/>
        </w:rPr>
        <w:t xml:space="preserve">En el caso de las comunidades que estén ubicadas, en áreas declaradas legalmente como protegidas, y que no cuenten con los documentos descritos en el acápite (i), deberán presentar una certificación de residencia emitida por el Juez de Paz o en su defecto del corregidor del lugar, y certificación de consentimiento emitida por la Dirección de Áreas Protegidas y Vida Silvestre del Ministerio de Ambiente. </w:t>
      </w:r>
    </w:p>
    <w:p w14:paraId="0A79971F" w14:textId="7227786A" w:rsidR="00C161BD" w:rsidRPr="00E80555" w:rsidRDefault="00C161BD" w:rsidP="00A61363">
      <w:pPr>
        <w:pStyle w:val="Prrafodelista"/>
        <w:numPr>
          <w:ilvl w:val="0"/>
          <w:numId w:val="6"/>
        </w:numPr>
        <w:jc w:val="both"/>
      </w:pPr>
      <w:r>
        <w:t xml:space="preserve">En el caso de las comunidades comarcales, que no cuenten con los documentos descritos en el acápite (i), deberán presentar una certificación de residencia emitida por el Juez </w:t>
      </w:r>
      <w:r w:rsidR="4BFC145F" w:rsidRPr="00B872B5">
        <w:rPr>
          <w:color w:val="C00000"/>
        </w:rPr>
        <w:t>Comunitario</w:t>
      </w:r>
      <w:r w:rsidRPr="00B872B5">
        <w:rPr>
          <w:color w:val="C00000"/>
        </w:rPr>
        <w:t xml:space="preserve"> </w:t>
      </w:r>
      <w:r w:rsidR="00050577">
        <w:t xml:space="preserve">o </w:t>
      </w:r>
      <w:r w:rsidR="692D7F70" w:rsidRPr="006227CE">
        <w:rPr>
          <w:color w:val="EE0000"/>
        </w:rPr>
        <w:t>A</w:t>
      </w:r>
      <w:r w:rsidR="00050577" w:rsidRPr="006227CE">
        <w:rPr>
          <w:color w:val="EE0000"/>
        </w:rPr>
        <w:t>utoridad</w:t>
      </w:r>
      <w:r w:rsidR="0AF401CE" w:rsidRPr="006227CE">
        <w:rPr>
          <w:color w:val="EE0000"/>
        </w:rPr>
        <w:t xml:space="preserve"> </w:t>
      </w:r>
      <w:r w:rsidR="7C9F69B3" w:rsidRPr="00B872B5">
        <w:rPr>
          <w:color w:val="C00000"/>
        </w:rPr>
        <w:t>T</w:t>
      </w:r>
      <w:r w:rsidR="0AF401CE" w:rsidRPr="00B872B5">
        <w:rPr>
          <w:color w:val="C00000"/>
        </w:rPr>
        <w:t xml:space="preserve">radicional de los </w:t>
      </w:r>
      <w:r w:rsidR="4A98D2BC" w:rsidRPr="00B872B5">
        <w:rPr>
          <w:color w:val="C00000"/>
        </w:rPr>
        <w:t>P</w:t>
      </w:r>
      <w:r w:rsidR="0AF401CE" w:rsidRPr="00B872B5">
        <w:rPr>
          <w:color w:val="C00000"/>
        </w:rPr>
        <w:t xml:space="preserve">ueblos </w:t>
      </w:r>
      <w:r w:rsidR="2E539BD7" w:rsidRPr="00B872B5">
        <w:rPr>
          <w:color w:val="C00000"/>
        </w:rPr>
        <w:t>I</w:t>
      </w:r>
      <w:r w:rsidR="5EDA9595" w:rsidRPr="00B872B5">
        <w:rPr>
          <w:color w:val="C00000"/>
        </w:rPr>
        <w:t>ndígenas</w:t>
      </w:r>
      <w:r w:rsidR="0AF401CE" w:rsidRPr="00B872B5">
        <w:rPr>
          <w:color w:val="C00000"/>
        </w:rPr>
        <w:t xml:space="preserve"> o un </w:t>
      </w:r>
      <w:proofErr w:type="gramStart"/>
      <w:r w:rsidR="0AF401CE" w:rsidRPr="00B872B5">
        <w:rPr>
          <w:color w:val="C00000"/>
        </w:rPr>
        <w:t>Delegado</w:t>
      </w:r>
      <w:proofErr w:type="gramEnd"/>
      <w:r w:rsidR="0AF401CE" w:rsidRPr="00B872B5">
        <w:rPr>
          <w:color w:val="C00000"/>
        </w:rPr>
        <w:t xml:space="preserve"> </w:t>
      </w:r>
      <w:r w:rsidR="6EE5C905" w:rsidRPr="00B872B5">
        <w:rPr>
          <w:color w:val="C00000"/>
        </w:rPr>
        <w:t>C</w:t>
      </w:r>
      <w:r w:rsidR="0AF401CE" w:rsidRPr="00B872B5">
        <w:rPr>
          <w:color w:val="C00000"/>
        </w:rPr>
        <w:t>omunitario</w:t>
      </w:r>
      <w:r w:rsidR="00050577" w:rsidRPr="00B872B5">
        <w:rPr>
          <w:color w:val="C00000"/>
        </w:rPr>
        <w:t xml:space="preserve"> </w:t>
      </w:r>
      <w:r w:rsidR="00050577" w:rsidRPr="006227CE">
        <w:rPr>
          <w:color w:val="EE0000"/>
        </w:rPr>
        <w:t>del lugar</w:t>
      </w:r>
      <w:r>
        <w:t xml:space="preserve">, y </w:t>
      </w:r>
      <w:r w:rsidR="000342D8" w:rsidRPr="006227CE">
        <w:rPr>
          <w:color w:val="EE0000"/>
        </w:rPr>
        <w:t>una</w:t>
      </w:r>
      <w:r w:rsidRPr="006227CE">
        <w:rPr>
          <w:color w:val="EE0000"/>
        </w:rPr>
        <w:t xml:space="preserve"> </w:t>
      </w:r>
      <w:r>
        <w:t xml:space="preserve">certificación de consentimiento emitida por la dirigencia tradicional comunitaria (reconocida oficialmente) que corresponda. </w:t>
      </w:r>
    </w:p>
    <w:p w14:paraId="646AE85A" w14:textId="23CB3F6D" w:rsidR="00A61363" w:rsidRDefault="00C161BD" w:rsidP="00A61363">
      <w:pPr>
        <w:pStyle w:val="Prrafodelista"/>
        <w:numPr>
          <w:ilvl w:val="0"/>
          <w:numId w:val="6"/>
        </w:numPr>
        <w:jc w:val="both"/>
        <w:rPr>
          <w:szCs w:val="24"/>
        </w:rPr>
      </w:pPr>
      <w:r w:rsidRPr="00A61363">
        <w:rPr>
          <w:szCs w:val="24"/>
        </w:rPr>
        <w:t xml:space="preserve">En el caso de las comunidades rurales que se vean beneficiadas por proyectos de electrificación realizados por la OER en conjunto con las distribuidoras, y que no cuenten con los documentos descritos en el acápite (i), deberán presentar una certificación de residencia emitida por el Juez de Paz o en su defecto del corregidor del lugar, y certificación escrita de la Oficina de Electrificación Rural donde se haga constar el desarrollo del proyecto de electrificación correspondiente. </w:t>
      </w:r>
    </w:p>
    <w:p w14:paraId="320FF212" w14:textId="77777777" w:rsidR="00A61363" w:rsidRDefault="00C161BD" w:rsidP="00A61363">
      <w:pPr>
        <w:pStyle w:val="Prrafodelista"/>
        <w:numPr>
          <w:ilvl w:val="0"/>
          <w:numId w:val="6"/>
        </w:numPr>
        <w:jc w:val="both"/>
        <w:rPr>
          <w:szCs w:val="24"/>
        </w:rPr>
      </w:pPr>
      <w:r w:rsidRPr="00A61363">
        <w:rPr>
          <w:szCs w:val="24"/>
        </w:rPr>
        <w:t>En los casos de clientes tales como construcciones, exposiciones, ferias, circos, etc. que requieran un suministro de carácter temporal, deberán presentar el permiso de estructura temporal emitido por el municipio correspondiente.</w:t>
      </w:r>
    </w:p>
    <w:p w14:paraId="2B4F7166" w14:textId="5005C2C1" w:rsidR="00574C0C" w:rsidRDefault="007A02A3" w:rsidP="00574C0C">
      <w:pPr>
        <w:pStyle w:val="Prrafodelista"/>
        <w:numPr>
          <w:ilvl w:val="0"/>
          <w:numId w:val="6"/>
        </w:numPr>
        <w:jc w:val="both"/>
      </w:pPr>
      <w:r>
        <w:t>En los casos de suministro para letreros, vallas, fuentes de poder, antenas, puntos de recarga eléctrica, luminarias de canchas deportivas públicas, etc. que no requieran un permiso de ocupación para el debido suministro, deberán presentar en lugar del permiso, una copia de certificación eléctrica por los bomberos, siempre y cuando se cumpla las normas de seguridad eléctrica vigentes.</w:t>
      </w:r>
    </w:p>
    <w:p w14:paraId="36432C2C" w14:textId="03BCE999" w:rsidR="00BB1893" w:rsidRPr="00574C0C" w:rsidRDefault="00574C0C" w:rsidP="00574C0C">
      <w:pPr>
        <w:pStyle w:val="Prrafodelista"/>
        <w:numPr>
          <w:ilvl w:val="0"/>
          <w:numId w:val="5"/>
        </w:numPr>
        <w:jc w:val="both"/>
        <w:rPr>
          <w:szCs w:val="24"/>
        </w:rPr>
      </w:pPr>
      <w:r w:rsidRPr="00574C0C">
        <w:rPr>
          <w:szCs w:val="24"/>
        </w:rPr>
        <w:lastRenderedPageBreak/>
        <w:t xml:space="preserve"> </w:t>
      </w:r>
      <w:r w:rsidR="00C161BD" w:rsidRPr="00574C0C">
        <w:rPr>
          <w:szCs w:val="24"/>
        </w:rPr>
        <w:t>Presentar certificación de buen historial de pago o referencias de crédito recientes, es decir que no exceda un periodo de 5 años de la fecha en que se realiza la solicitud. En ausencia de éstas, el solicitante deberá pagar el depósito de garantía establecido en el presente reglamento.</w:t>
      </w:r>
    </w:p>
    <w:p w14:paraId="7F07CDF7" w14:textId="7A033F64" w:rsidR="00252BE9" w:rsidRPr="00E80555" w:rsidRDefault="00252BE9" w:rsidP="004465B8">
      <w:pPr>
        <w:pStyle w:val="Prrafodelista"/>
        <w:numPr>
          <w:ilvl w:val="0"/>
          <w:numId w:val="5"/>
        </w:numPr>
        <w:jc w:val="both"/>
        <w:rPr>
          <w:szCs w:val="24"/>
        </w:rPr>
      </w:pPr>
      <w:r w:rsidRPr="00E80555">
        <w:rPr>
          <w:szCs w:val="24"/>
        </w:rPr>
        <w:t xml:space="preserve">Pagar el derecho de conexión de acuerdo </w:t>
      </w:r>
      <w:r w:rsidR="00895D9D" w:rsidRPr="00CC6DF3">
        <w:rPr>
          <w:szCs w:val="24"/>
        </w:rPr>
        <w:t>con el</w:t>
      </w:r>
      <w:r w:rsidRPr="002F10E4">
        <w:rPr>
          <w:szCs w:val="24"/>
        </w:rPr>
        <w:t xml:space="preserve"> </w:t>
      </w:r>
      <w:r w:rsidRPr="00E80555">
        <w:rPr>
          <w:szCs w:val="24"/>
        </w:rPr>
        <w:t xml:space="preserve">pliego tarifario vigente. </w:t>
      </w:r>
    </w:p>
    <w:p w14:paraId="3C9E0ECA" w14:textId="6231E1DB" w:rsidR="004B2589" w:rsidRPr="00CC6DF3" w:rsidRDefault="004B2589" w:rsidP="004B2589">
      <w:pPr>
        <w:pStyle w:val="Prrafodelista"/>
        <w:numPr>
          <w:ilvl w:val="0"/>
          <w:numId w:val="5"/>
        </w:numPr>
        <w:jc w:val="both"/>
        <w:rPr>
          <w:szCs w:val="24"/>
        </w:rPr>
      </w:pPr>
      <w:r w:rsidRPr="00CC6DF3">
        <w:rPr>
          <w:szCs w:val="24"/>
        </w:rPr>
        <w:t>E</w:t>
      </w:r>
      <w:r w:rsidR="00705540" w:rsidRPr="00CC6DF3">
        <w:rPr>
          <w:szCs w:val="24"/>
        </w:rPr>
        <w:t xml:space="preserve">l punto de interconexión (donde se encuentra el medidor), </w:t>
      </w:r>
      <w:r w:rsidR="00705540" w:rsidRPr="00CC2CCD">
        <w:rPr>
          <w:szCs w:val="24"/>
        </w:rPr>
        <w:t>debe estar ubicado en un sitio accesible a la empresa de distribución de acuerdo con las normas de construcción</w:t>
      </w:r>
      <w:r w:rsidR="00705540" w:rsidRPr="00CC6DF3">
        <w:rPr>
          <w:szCs w:val="24"/>
        </w:rPr>
        <w:t>, y su conexión con las instalaciones del cliente deben cumplir con las normas de seguridad para media tensión y baja tensión vigentes.</w:t>
      </w:r>
    </w:p>
    <w:p w14:paraId="5D77356D" w14:textId="080D5217" w:rsidR="00252BE9" w:rsidRPr="00E80555" w:rsidRDefault="00252BE9" w:rsidP="004465B8">
      <w:pPr>
        <w:pStyle w:val="Prrafodelista"/>
        <w:numPr>
          <w:ilvl w:val="0"/>
          <w:numId w:val="5"/>
        </w:numPr>
        <w:jc w:val="both"/>
      </w:pPr>
      <w:r>
        <w:t>El cliente será responsable sobre la propiedad en la que se instalará el suministro ante cualquier reclamo o conflicto de la propiedad entre terceros o particulares.</w:t>
      </w:r>
    </w:p>
    <w:p w14:paraId="5E12BD5B" w14:textId="5B0C61B5" w:rsidR="26A15824" w:rsidRPr="00CC6DF3" w:rsidRDefault="63D43ADA" w:rsidP="014583CB">
      <w:pPr>
        <w:pStyle w:val="Prrafodelista"/>
        <w:numPr>
          <w:ilvl w:val="0"/>
          <w:numId w:val="5"/>
        </w:numPr>
        <w:jc w:val="both"/>
        <w:rPr>
          <w:color w:val="242424"/>
          <w:szCs w:val="24"/>
        </w:rPr>
      </w:pPr>
      <w:r w:rsidRPr="00E80555">
        <w:rPr>
          <w:color w:val="242424"/>
          <w:szCs w:val="24"/>
        </w:rPr>
        <w:t>Las solicitudes del servicio eléctrico podrán realizarse en las agencias autorizadas de la empresa distribuidora,</w:t>
      </w:r>
      <w:r w:rsidRPr="00E80555">
        <w:rPr>
          <w:color w:val="FF0000"/>
          <w:szCs w:val="24"/>
        </w:rPr>
        <w:t xml:space="preserve"> </w:t>
      </w:r>
      <w:r w:rsidRPr="00857CF2">
        <w:rPr>
          <w:color w:val="C00000"/>
          <w:szCs w:val="24"/>
        </w:rPr>
        <w:t xml:space="preserve">en sitio </w:t>
      </w:r>
      <w:r w:rsidRPr="00CC6DF3">
        <w:rPr>
          <w:szCs w:val="24"/>
        </w:rPr>
        <w:t xml:space="preserve">o por vía electrónica. En el caso de que sea por medio electrónico toda la documentación podrá enviarse a través de este mismo medio, al igual que la certificación de los pagos, de acuerdo con lo establecido en el Capítulo V.15 de este Reglamento. </w:t>
      </w:r>
    </w:p>
    <w:p w14:paraId="5BBAEF94" w14:textId="77777777" w:rsidR="0094634A" w:rsidRPr="000F39BC" w:rsidRDefault="0094634A" w:rsidP="00592A15">
      <w:pPr>
        <w:pStyle w:val="Ttulo1"/>
        <w:numPr>
          <w:ilvl w:val="0"/>
          <w:numId w:val="16"/>
        </w:numPr>
        <w:spacing w:after="240"/>
        <w:rPr>
          <w:rFonts w:cs="Times New Roman"/>
          <w:b w:val="0"/>
          <w:color w:val="4472C4" w:themeColor="accent1"/>
          <w:szCs w:val="24"/>
        </w:rPr>
      </w:pPr>
      <w:r w:rsidRPr="000F39BC">
        <w:rPr>
          <w:rFonts w:cs="Times New Roman"/>
          <w:color w:val="4472C4" w:themeColor="accent1"/>
          <w:szCs w:val="24"/>
        </w:rPr>
        <w:t>Donde dice</w:t>
      </w:r>
    </w:p>
    <w:p w14:paraId="1F638B39" w14:textId="77777777" w:rsidR="00E56BC8" w:rsidRDefault="00E56BC8" w:rsidP="5B577446">
      <w:pPr>
        <w:jc w:val="both"/>
        <w:rPr>
          <w:szCs w:val="24"/>
        </w:rPr>
      </w:pPr>
      <w:r w:rsidRPr="00946A11">
        <w:rPr>
          <w:b/>
          <w:bCs/>
          <w:szCs w:val="24"/>
        </w:rPr>
        <w:t>Artículo 15</w:t>
      </w:r>
      <w:r w:rsidRPr="00E56BC8">
        <w:rPr>
          <w:szCs w:val="24"/>
        </w:rPr>
        <w:t xml:space="preserve"> Condiciones para los clientes con servicios temporales: Para la instalación de facilidades de energía eléctrica, que requiera de una acometida que será utilizada por pocos días, desde una línea de distribución eléctrica aérea o subterránea existente, el cliente deberá pagar a la empresa distribuidora los costos asociados de acuerdo a la facilidad que solicita. </w:t>
      </w:r>
    </w:p>
    <w:p w14:paraId="6C51FB9A" w14:textId="77777777" w:rsidR="00E56BC8" w:rsidRDefault="00E56BC8" w:rsidP="5B577446">
      <w:pPr>
        <w:jc w:val="both"/>
        <w:rPr>
          <w:szCs w:val="24"/>
        </w:rPr>
      </w:pPr>
      <w:r w:rsidRPr="00E56BC8">
        <w:rPr>
          <w:szCs w:val="24"/>
        </w:rPr>
        <w:t xml:space="preserve">La empresa distribuidora no podrá cobrar dos veces la misma instalación temporal, o sea, que si la instalación hecha para brindar el servicio </w:t>
      </w:r>
      <w:proofErr w:type="gramStart"/>
      <w:r w:rsidRPr="00E56BC8">
        <w:rPr>
          <w:szCs w:val="24"/>
        </w:rPr>
        <w:t>temporal,</w:t>
      </w:r>
      <w:proofErr w:type="gramEnd"/>
      <w:r w:rsidRPr="00E56BC8">
        <w:rPr>
          <w:szCs w:val="24"/>
        </w:rPr>
        <w:t xml:space="preserve"> es adecuada para suministrar el servicio permanente, el cliente sólo pagará por la instalación temporal. </w:t>
      </w:r>
    </w:p>
    <w:p w14:paraId="0FBDAD0B" w14:textId="77777777" w:rsidR="004C5E7D" w:rsidRDefault="00E56BC8" w:rsidP="5B577446">
      <w:pPr>
        <w:jc w:val="both"/>
        <w:rPr>
          <w:szCs w:val="24"/>
        </w:rPr>
      </w:pPr>
      <w:r w:rsidRPr="00E56BC8">
        <w:rPr>
          <w:szCs w:val="24"/>
        </w:rPr>
        <w:t xml:space="preserve">En todos los casos de instalación de facilidades para un servicio temporal, la empresa distribuidora proporcionará al cliente una factura por dicha instalación, calculada de la siguiente manera: (1) El costo estimado de instalación de materiales y suministros requeridos para proporcionar el servicio temporal, más (2) el costo estimado de remover dichas facilidades, menos (3) el valor estimado de salvamento al final del periodo de servicio de las facilidades instaladas. El cliente deberá pagar dicho cargo previo a la instalación de las facilidades del servicio. El Pliego Tarifario deberá contener la forma de cálculo del monto a pagar. </w:t>
      </w:r>
    </w:p>
    <w:p w14:paraId="18699E5D" w14:textId="77777777" w:rsidR="004C5E7D" w:rsidRDefault="00E56BC8" w:rsidP="5B577446">
      <w:pPr>
        <w:jc w:val="both"/>
        <w:rPr>
          <w:szCs w:val="24"/>
        </w:rPr>
      </w:pPr>
      <w:r w:rsidRPr="00E56BC8">
        <w:rPr>
          <w:szCs w:val="24"/>
        </w:rPr>
        <w:t xml:space="preserve">De acuerdo a la categoría tarifaria que corresponda, se facturará el consumo de energía y de corresponder el cargo por demanda se aplicará proporcionalmente a la cantidad de días en que se utilice el suministro, excepto lo relacionado al cargo fijo comercial que se facturará por mes completo. </w:t>
      </w:r>
    </w:p>
    <w:p w14:paraId="7856A52A" w14:textId="302F0F45" w:rsidR="00CA5877" w:rsidRDefault="00E56BC8" w:rsidP="5B577446">
      <w:pPr>
        <w:jc w:val="both"/>
        <w:rPr>
          <w:szCs w:val="24"/>
        </w:rPr>
      </w:pPr>
      <w:r w:rsidRPr="00E56BC8">
        <w:rPr>
          <w:szCs w:val="24"/>
        </w:rPr>
        <w:t xml:space="preserve">Concluido el periodo del suministro temporal, la empresa distribuidora deberá proceder a la desconexión de las instalaciones propias. El cliente con servicio </w:t>
      </w:r>
      <w:proofErr w:type="gramStart"/>
      <w:r w:rsidRPr="00E56BC8">
        <w:rPr>
          <w:szCs w:val="24"/>
        </w:rPr>
        <w:t>temporal,</w:t>
      </w:r>
      <w:proofErr w:type="gramEnd"/>
      <w:r w:rsidRPr="00E56BC8">
        <w:rPr>
          <w:szCs w:val="24"/>
        </w:rPr>
        <w:t xml:space="preserve"> podrá solicitar la </w:t>
      </w:r>
      <w:r w:rsidRPr="00E56BC8">
        <w:rPr>
          <w:szCs w:val="24"/>
        </w:rPr>
        <w:lastRenderedPageBreak/>
        <w:t>extensión del plazo de vigencia del servicio con una anticipación no menor a cuarenta y ocho (48) horas de la fecha de vencimiento.</w:t>
      </w:r>
    </w:p>
    <w:p w14:paraId="5D3952BD" w14:textId="6AC876C1" w:rsidR="004C5E7D" w:rsidRDefault="004C5E7D" w:rsidP="5B577446">
      <w:pPr>
        <w:jc w:val="both"/>
        <w:rPr>
          <w:b/>
          <w:bCs/>
          <w:szCs w:val="24"/>
          <w:u w:val="single"/>
        </w:rPr>
      </w:pPr>
      <w:r>
        <w:rPr>
          <w:b/>
          <w:bCs/>
          <w:szCs w:val="24"/>
          <w:u w:val="single"/>
        </w:rPr>
        <w:t>Debe decir</w:t>
      </w:r>
    </w:p>
    <w:p w14:paraId="2EB0259B" w14:textId="0A8D225D" w:rsidR="00D97D92" w:rsidRPr="00E9755B" w:rsidRDefault="004C5E7D" w:rsidP="00D97D92">
      <w:pPr>
        <w:jc w:val="both"/>
        <w:rPr>
          <w:b/>
          <w:color w:val="EE0000"/>
        </w:rPr>
      </w:pPr>
      <w:r w:rsidRPr="3D9EB234">
        <w:rPr>
          <w:b/>
        </w:rPr>
        <w:t xml:space="preserve">Artículo 15: </w:t>
      </w:r>
      <w:r w:rsidR="00D97D92">
        <w:t xml:space="preserve">Condiciones para los clientes con servicios temporales: Para la instalación de facilidades de energía eléctrica, que requiera de una acometida que será utilizada por pocos días, desde una línea de distribución eléctrica aérea o subterránea existente, el cliente deberá pagar a la empresa distribuidora los costos asociados de acuerdo a la facilidad que solicita. </w:t>
      </w:r>
      <w:r w:rsidR="00A51E4C" w:rsidRPr="00E9755B">
        <w:rPr>
          <w:color w:val="EE0000"/>
          <w:lang w:val="es-ES"/>
        </w:rPr>
        <w:t xml:space="preserve">En caso de que la necesidad del servicio temporal se extienda por más de noventa </w:t>
      </w:r>
      <w:r w:rsidR="3097591B" w:rsidRPr="00E9755B">
        <w:rPr>
          <w:color w:val="EE0000"/>
          <w:lang w:val="es-ES"/>
        </w:rPr>
        <w:t>(90)</w:t>
      </w:r>
      <w:r w:rsidR="3A334CF8" w:rsidRPr="00E9755B">
        <w:rPr>
          <w:color w:val="EE0000"/>
          <w:lang w:val="es-ES"/>
        </w:rPr>
        <w:t xml:space="preserve"> </w:t>
      </w:r>
      <w:r w:rsidR="00A51E4C" w:rsidRPr="00E9755B">
        <w:rPr>
          <w:color w:val="EE0000"/>
          <w:lang w:val="es-ES"/>
        </w:rPr>
        <w:t xml:space="preserve">días, el cliente deberá presentar informes de avance trimestrales en los cuales se incluya la fecha estimada de terminación del servicio temporal. </w:t>
      </w:r>
    </w:p>
    <w:p w14:paraId="369F6FF2" w14:textId="728A7001" w:rsidR="00D97D92" w:rsidRPr="00D97D92" w:rsidRDefault="00D97D92" w:rsidP="00D97D92">
      <w:pPr>
        <w:jc w:val="both"/>
        <w:rPr>
          <w:szCs w:val="24"/>
        </w:rPr>
      </w:pPr>
      <w:r w:rsidRPr="00D97D92">
        <w:rPr>
          <w:szCs w:val="24"/>
        </w:rPr>
        <w:t xml:space="preserve">La empresa distribuidora no podrá cobrar dos veces la misma instalación temporal, o sea, </w:t>
      </w:r>
      <w:proofErr w:type="gramStart"/>
      <w:r w:rsidRPr="00D97D92">
        <w:rPr>
          <w:szCs w:val="24"/>
        </w:rPr>
        <w:t>que</w:t>
      </w:r>
      <w:proofErr w:type="gramEnd"/>
      <w:r w:rsidRPr="00D97D92">
        <w:rPr>
          <w:szCs w:val="24"/>
        </w:rPr>
        <w:t xml:space="preserve"> si la instalación hecha para brindar el servicio temporal es adecuada para suministrar el servicio permanente, el cliente sólo pagará por la instalación temporal. </w:t>
      </w:r>
    </w:p>
    <w:p w14:paraId="1D966494" w14:textId="77777777" w:rsidR="00D97D92" w:rsidRPr="00D97D92" w:rsidRDefault="00D97D92" w:rsidP="00D97D92">
      <w:pPr>
        <w:jc w:val="both"/>
        <w:rPr>
          <w:szCs w:val="24"/>
        </w:rPr>
      </w:pPr>
      <w:r w:rsidRPr="00D97D92">
        <w:rPr>
          <w:szCs w:val="24"/>
        </w:rPr>
        <w:t xml:space="preserve">En todos los casos de instalación de facilidades para un servicio temporal, la empresa distribuidora proporcionará al cliente una factura por dicha instalación, calculada de la siguiente manera: (1) El costo estimado de instalación de materiales y suministros requeridos para proporcionar el servicio temporal, más (2) el costo estimado de remover dichas facilidades, menos (3) el valor estimado de salvamento al final del periodo de servicio de las facilidades instaladas. El cliente deberá pagar dicho cargo previo a la instalación de las facilidades del servicio. El Pliego Tarifario deberá contener la forma de cálculo del monto a pagar. </w:t>
      </w:r>
    </w:p>
    <w:p w14:paraId="2D9D52D7" w14:textId="77777777" w:rsidR="00D97D92" w:rsidRPr="00D97D92" w:rsidRDefault="00D97D92" w:rsidP="00D97D92">
      <w:pPr>
        <w:jc w:val="both"/>
        <w:rPr>
          <w:szCs w:val="24"/>
        </w:rPr>
      </w:pPr>
      <w:r w:rsidRPr="00D97D92">
        <w:rPr>
          <w:szCs w:val="24"/>
        </w:rPr>
        <w:t xml:space="preserve">De acuerdo a la categoría tarifaria que corresponda, se facturará el consumo de energía y de corresponder el cargo por demanda se aplicará proporcionalmente a la cantidad de días en que se utilice el suministro, excepto lo relacionado al cargo fijo comercial que se facturará por mes completo. </w:t>
      </w:r>
    </w:p>
    <w:p w14:paraId="40D284B0" w14:textId="0B707E29" w:rsidR="004C5E7D" w:rsidDel="00D97D92" w:rsidRDefault="00D97D92" w:rsidP="5B577446">
      <w:pPr>
        <w:jc w:val="both"/>
        <w:rPr>
          <w:b/>
          <w:bCs/>
          <w:szCs w:val="24"/>
        </w:rPr>
      </w:pPr>
      <w:r w:rsidRPr="00D97D92">
        <w:rPr>
          <w:szCs w:val="24"/>
        </w:rPr>
        <w:t>Concluido el periodo del suministro temporal, la empresa distribuidora deberá proceder a la desconexión de las instalaciones propias. El cliente con servicio temporal podrá solicitar la extensión del plazo de vigencia del servicio con una anticipación no menor a cuarenta y ocho (48) horas de la fecha de vencimiento.</w:t>
      </w:r>
    </w:p>
    <w:p w14:paraId="601142E6" w14:textId="1C1F137E" w:rsidR="000D5E36" w:rsidRDefault="000D5E36" w:rsidP="00697DE6">
      <w:pPr>
        <w:pStyle w:val="Ttulo1"/>
        <w:numPr>
          <w:ilvl w:val="0"/>
          <w:numId w:val="16"/>
        </w:numPr>
        <w:spacing w:after="240"/>
        <w:rPr>
          <w:b w:val="0"/>
          <w:bCs/>
          <w:szCs w:val="24"/>
        </w:rPr>
      </w:pPr>
      <w:r>
        <w:rPr>
          <w:szCs w:val="24"/>
        </w:rPr>
        <w:t>Donde dice</w:t>
      </w:r>
    </w:p>
    <w:p w14:paraId="56C2CB7F" w14:textId="44CD2CE9" w:rsidR="00C13217" w:rsidRPr="004217CE" w:rsidRDefault="00C13217" w:rsidP="000D5E36">
      <w:pPr>
        <w:jc w:val="both"/>
        <w:rPr>
          <w:szCs w:val="24"/>
        </w:rPr>
      </w:pPr>
      <w:r w:rsidRPr="00636314">
        <w:rPr>
          <w:b/>
          <w:szCs w:val="24"/>
        </w:rPr>
        <w:t>Artículo 16</w:t>
      </w:r>
      <w:r w:rsidRPr="004217CE">
        <w:rPr>
          <w:szCs w:val="24"/>
        </w:rPr>
        <w:t xml:space="preserve"> La cancelación del servicio se realizará cuando lo solicite el cliente, de forma verbal o por escrito, personalmente o por intermedio de una persona autorizada. Cuando el cliente o una persona autorizada realice la solicitud de cancelación en forma verbal, la empresa distribuidora deberá entregar al cliente una constancia escrita de la solicitud, en la que se consigne como mínimo, fecha, hora, número de registro y nombre de la persona que recibió la petición.</w:t>
      </w:r>
    </w:p>
    <w:p w14:paraId="32F018E1" w14:textId="77777777" w:rsidR="00043F6B" w:rsidRDefault="00043F6B" w:rsidP="000D5E36">
      <w:pPr>
        <w:jc w:val="both"/>
        <w:rPr>
          <w:szCs w:val="24"/>
        </w:rPr>
      </w:pPr>
      <w:r w:rsidRPr="00043F6B">
        <w:rPr>
          <w:szCs w:val="24"/>
        </w:rPr>
        <w:lastRenderedPageBreak/>
        <w:t xml:space="preserve">La empresa distribuidora realizará la desconexión en un tiempo no mayor al que se exige para las instalaciones de acuerdo a la norma de calidad vigente, el cual deberá ser informado al cliente en la misma constancia de la solicitud. La empresa distribuidora debe realizar la lectura del medidor antes de desconectar el servicio y facturar el consumo para el cierre de la cuenta. </w:t>
      </w:r>
    </w:p>
    <w:p w14:paraId="789AB771" w14:textId="033B383B" w:rsidR="00043F6B" w:rsidRDefault="00043F6B" w:rsidP="000D5E36">
      <w:pPr>
        <w:jc w:val="both"/>
        <w:rPr>
          <w:szCs w:val="24"/>
        </w:rPr>
      </w:pPr>
      <w:r w:rsidRPr="00043F6B">
        <w:rPr>
          <w:szCs w:val="24"/>
        </w:rPr>
        <w:t xml:space="preserve">En el caso de que el cliente no sea el dueño de la vivienda o del local comercial, y este abandona o desaloja el mismo sin avisar a la empresa distribuidora o solicitar la cancelación del servicio, la empresa deberá aceptar la solicitud de cancelación del servicio de parte del propietario, siempre que sea presentada por escrito y se aporten copias de los documentos que acrediten la propiedad o tenencia del bien inmueble sobre el cual se solicita la cancelación del suministro: </w:t>
      </w:r>
    </w:p>
    <w:p w14:paraId="41811BE8" w14:textId="77777777" w:rsidR="00B956A5" w:rsidRDefault="00043F6B" w:rsidP="00946A11">
      <w:pPr>
        <w:pStyle w:val="Prrafodelista"/>
        <w:numPr>
          <w:ilvl w:val="0"/>
          <w:numId w:val="22"/>
        </w:numPr>
        <w:jc w:val="both"/>
      </w:pPr>
      <w:r w:rsidRPr="00043F6B">
        <w:t>Presente una Declaración Jurada notariada original, que indique de manera expresa que el cliente desalojó el bien inmueble o que fue lanzado o desalojado del bien inmueble.</w:t>
      </w:r>
    </w:p>
    <w:p w14:paraId="30F834D4" w14:textId="4BBEF04B" w:rsidR="00B956A5" w:rsidRDefault="00043F6B" w:rsidP="00946A11">
      <w:pPr>
        <w:pStyle w:val="Prrafodelista"/>
        <w:numPr>
          <w:ilvl w:val="0"/>
          <w:numId w:val="22"/>
        </w:numPr>
        <w:jc w:val="both"/>
      </w:pPr>
      <w:r>
        <w:t xml:space="preserve">Presente certificación original y vigente (6 meses) expedida por el Registro Público, por la Autoridad Nacional de Administración de Tierras o por aquellas instituciones que acrediten la propiedad y/o posesión de un bien inmueble. </w:t>
      </w:r>
    </w:p>
    <w:p w14:paraId="68F73947" w14:textId="1AA991DD" w:rsidR="00DC2129" w:rsidRDefault="00043F6B" w:rsidP="00946A11">
      <w:pPr>
        <w:jc w:val="both"/>
      </w:pPr>
      <w:r w:rsidRPr="00043F6B">
        <w:t xml:space="preserve">Una vez aceptada la solicitud de cancelación del servicio por la causal de abandono o desalojo, la empresa distribuidora deberá procesar la solicitud y realizar la lectura del medidor antes de desconectar el servicio, a fin de comprobar que en el bien inmueble no se registra consumo, acreditándose el abandono declarado por el propietario o tenedor del bien inmueble que solicitó la cancelación del servicio. En caso de haber consumo o de haber una persona habitando el bien inmueble no se procederá con la desconexión. </w:t>
      </w:r>
    </w:p>
    <w:p w14:paraId="0BBC2C50" w14:textId="77777777" w:rsidR="00DC2129" w:rsidRDefault="00043F6B" w:rsidP="00946A11">
      <w:pPr>
        <w:jc w:val="both"/>
      </w:pPr>
      <w:r w:rsidRPr="00043F6B">
        <w:t xml:space="preserve">La empresa distribuidora no será responsable por conflictos dimanantes de lo antes expuesto y cualquier reclamación deberá ser dirigida al propietario o tenedor correspondiente. </w:t>
      </w:r>
    </w:p>
    <w:p w14:paraId="5D041031" w14:textId="0BF78595" w:rsidR="00C13217" w:rsidRPr="00946A11" w:rsidRDefault="00043F6B" w:rsidP="00DC2129">
      <w:pPr>
        <w:jc w:val="both"/>
      </w:pPr>
      <w:r w:rsidRPr="00043F6B">
        <w:t>Si el cliente que ocupaba el bien inmueble dejara una cuenta pendiente, la misma solo es atribuible a él y no podrá trasladarse al propietario del inmueble ni al nuevo cliente que pase a hacer uso del mismo, tal y como se establece en el artículo 4 del Capítulo V.1 de este Reglamento. El propietario del bien inmueble deberá realizar tal solicitud en forma diligente, y la Empresa Distribuidora deberá proceder a la conexión del nuevo servicio, una vez firmado el nuevo contrato y, el cliente haya pagado el respectivo depósito</w:t>
      </w:r>
      <w:r w:rsidR="00CF5B41">
        <w:t>.</w:t>
      </w:r>
    </w:p>
    <w:p w14:paraId="27C5235F" w14:textId="6C4A8203" w:rsidR="000D5E36" w:rsidRDefault="000D5E36" w:rsidP="000D5E36">
      <w:pPr>
        <w:jc w:val="both"/>
        <w:rPr>
          <w:b/>
          <w:bCs/>
          <w:szCs w:val="24"/>
          <w:u w:val="single"/>
        </w:rPr>
      </w:pPr>
      <w:r>
        <w:rPr>
          <w:b/>
          <w:bCs/>
          <w:szCs w:val="24"/>
          <w:u w:val="single"/>
        </w:rPr>
        <w:t>Debe decir</w:t>
      </w:r>
      <w:r w:rsidR="00DC2129">
        <w:rPr>
          <w:b/>
          <w:bCs/>
          <w:szCs w:val="24"/>
          <w:u w:val="single"/>
        </w:rPr>
        <w:t>:</w:t>
      </w:r>
      <w:r w:rsidR="00DC2129" w:rsidRPr="00DC2129">
        <w:rPr>
          <w:b/>
          <w:bCs/>
          <w:szCs w:val="24"/>
          <w:highlight w:val="yellow"/>
        </w:rPr>
        <w:t xml:space="preserve"> </w:t>
      </w:r>
    </w:p>
    <w:p w14:paraId="605E3021" w14:textId="77777777" w:rsidR="00CF5B41" w:rsidRPr="004217CE" w:rsidRDefault="00CF5B41" w:rsidP="00CF5B41">
      <w:pPr>
        <w:jc w:val="both"/>
        <w:rPr>
          <w:szCs w:val="24"/>
        </w:rPr>
      </w:pPr>
      <w:r w:rsidRPr="00636314">
        <w:rPr>
          <w:b/>
          <w:szCs w:val="24"/>
        </w:rPr>
        <w:t>Artículo 16</w:t>
      </w:r>
      <w:r w:rsidRPr="004217CE">
        <w:rPr>
          <w:szCs w:val="24"/>
        </w:rPr>
        <w:t xml:space="preserve"> La cancelación del servicio se realizará cuando lo solicite el cliente, de forma verbal o por escrito, personalmente o por intermedio de una persona autorizada. Cuando el cliente o una persona autorizada realice la solicitud de cancelación en forma verbal, la empresa distribuidora deberá entregar al cliente una constancia escrita de la solicitud, en la que se consigne como mínimo, fecha, hora, número de registro y nombre de la persona que recibió la petición.</w:t>
      </w:r>
    </w:p>
    <w:p w14:paraId="18695E39" w14:textId="77777777" w:rsidR="00CF5B41" w:rsidRDefault="00CF5B41" w:rsidP="00CF5B41">
      <w:pPr>
        <w:jc w:val="both"/>
        <w:rPr>
          <w:szCs w:val="24"/>
        </w:rPr>
      </w:pPr>
      <w:r w:rsidRPr="00043F6B">
        <w:rPr>
          <w:szCs w:val="24"/>
        </w:rPr>
        <w:lastRenderedPageBreak/>
        <w:t xml:space="preserve">La empresa distribuidora realizará la desconexión en un tiempo no mayor al que se exige para las instalaciones de acuerdo a la norma de calidad vigente, el cual deberá ser informado al cliente en la misma constancia de la solicitud. La empresa distribuidora debe realizar la lectura del medidor antes de desconectar el servicio y facturar el consumo para el cierre de la cuenta. </w:t>
      </w:r>
    </w:p>
    <w:p w14:paraId="1D506A54" w14:textId="52F5B2E0" w:rsidR="00CF5B41" w:rsidRDefault="00CF5B41" w:rsidP="00CF5B41">
      <w:pPr>
        <w:jc w:val="both"/>
        <w:rPr>
          <w:szCs w:val="24"/>
        </w:rPr>
      </w:pPr>
      <w:r w:rsidRPr="00043F6B">
        <w:rPr>
          <w:szCs w:val="24"/>
        </w:rPr>
        <w:t xml:space="preserve">En el caso de que el cliente no sea el dueño de la vivienda o del local comercial, y este abandona o desaloja el mismo sin avisar a la empresa distribuidora o solicitar la cancelación del servicio, la empresa deberá aceptar la solicitud de cancelación del servicio de parte del propietario, siempre que sea presentada por escrito y se aporten copias de los documentos que acrediten la propiedad o tenencia del bien inmueble sobre el cual se solicita la cancelación del suministro: </w:t>
      </w:r>
    </w:p>
    <w:p w14:paraId="310BE624" w14:textId="77777777" w:rsidR="00CF5B41" w:rsidRDefault="00CF5B41" w:rsidP="00CF5B41">
      <w:pPr>
        <w:pStyle w:val="Prrafodelista"/>
        <w:numPr>
          <w:ilvl w:val="0"/>
          <w:numId w:val="27"/>
        </w:numPr>
        <w:jc w:val="both"/>
      </w:pPr>
      <w:r w:rsidRPr="00043F6B">
        <w:t>Presente una Declaración Jurada notariada original, que indique de manera expresa que el cliente desalojó el bien inmueble o que fue lanzado o desalojado del bien inmueble.</w:t>
      </w:r>
    </w:p>
    <w:p w14:paraId="3088D3D0" w14:textId="534C8BD6" w:rsidR="00CF5B41" w:rsidRDefault="00CF5B41" w:rsidP="00CF5B41">
      <w:pPr>
        <w:pStyle w:val="Prrafodelista"/>
        <w:numPr>
          <w:ilvl w:val="0"/>
          <w:numId w:val="27"/>
        </w:numPr>
        <w:jc w:val="both"/>
      </w:pPr>
      <w:r w:rsidRPr="00043F6B">
        <w:t>Presente certificación original y vigente (</w:t>
      </w:r>
      <w:r w:rsidR="00E253D7" w:rsidRPr="00E253D7">
        <w:rPr>
          <w:color w:val="EE0000"/>
        </w:rPr>
        <w:t>1 año</w:t>
      </w:r>
      <w:r w:rsidRPr="00043F6B">
        <w:t xml:space="preserve">) expedida por el Registro Público, por la Autoridad Nacional de Administración de Tierras o por aquellas instituciones que acrediten la propiedad y/o posesión de un bien inmueble. </w:t>
      </w:r>
    </w:p>
    <w:p w14:paraId="0C329926" w14:textId="1FBD99DE" w:rsidR="00CF5B41" w:rsidRDefault="7A8E54F7" w:rsidP="00CF5B41">
      <w:pPr>
        <w:jc w:val="both"/>
      </w:pPr>
      <w:r>
        <w:t>Una vez aceptada la solicitud de cancelación del servicio por la causal de abandono o desalojo, la empresa distribuidora deberá procesar la solicitud y realizar la lectura del medidor antes de desconectar el servicio</w:t>
      </w:r>
      <w:bookmarkStart w:id="0" w:name="_Hlk213504470"/>
      <w:r w:rsidRPr="3F1F13E6">
        <w:rPr>
          <w:rFonts w:asciiTheme="majorBidi" w:hAnsiTheme="majorBidi" w:cstheme="majorBidi"/>
        </w:rPr>
        <w:t xml:space="preserve"> </w:t>
      </w:r>
      <w:r w:rsidRPr="3F1F13E6">
        <w:rPr>
          <w:rFonts w:asciiTheme="majorBidi" w:hAnsiTheme="majorBidi" w:cstheme="majorBidi"/>
          <w:color w:val="EE0000"/>
        </w:rPr>
        <w:t xml:space="preserve">en un plazo </w:t>
      </w:r>
      <w:r w:rsidR="12B78FE9" w:rsidRPr="3F1F13E6">
        <w:rPr>
          <w:rFonts w:asciiTheme="majorBidi" w:hAnsiTheme="majorBidi" w:cstheme="majorBidi"/>
          <w:color w:val="EE0000"/>
        </w:rPr>
        <w:t xml:space="preserve">no mayor </w:t>
      </w:r>
      <w:r w:rsidRPr="3F1F13E6">
        <w:rPr>
          <w:rFonts w:asciiTheme="majorBidi" w:hAnsiTheme="majorBidi" w:cstheme="majorBidi"/>
          <w:color w:val="EE0000"/>
        </w:rPr>
        <w:t xml:space="preserve">de cinco </w:t>
      </w:r>
      <w:r w:rsidR="12B78FE9" w:rsidRPr="3F1F13E6">
        <w:rPr>
          <w:rFonts w:asciiTheme="majorBidi" w:hAnsiTheme="majorBidi" w:cstheme="majorBidi"/>
          <w:color w:val="EE0000"/>
        </w:rPr>
        <w:t>(5)</w:t>
      </w:r>
      <w:r w:rsidRPr="3F1F13E6">
        <w:rPr>
          <w:rFonts w:asciiTheme="majorBidi" w:hAnsiTheme="majorBidi" w:cstheme="majorBidi"/>
          <w:color w:val="EE0000"/>
        </w:rPr>
        <w:t xml:space="preserve"> días hábiles</w:t>
      </w:r>
      <w:bookmarkEnd w:id="0"/>
      <w:r>
        <w:t xml:space="preserve">, a fin de comprobar que en el bien inmueble no se registra consumo, acreditándose el abandono declarado por el propietario o tenedor del bien inmueble que solicitó la cancelación del servicio. En caso de haber consumo o de haber una persona habitando el bien inmueble no se procederá con la desconexión. </w:t>
      </w:r>
    </w:p>
    <w:p w14:paraId="0C29FE54" w14:textId="77777777" w:rsidR="00CF5B41" w:rsidRDefault="00CF5B41" w:rsidP="00CF5B41">
      <w:pPr>
        <w:jc w:val="both"/>
      </w:pPr>
      <w:r w:rsidRPr="00043F6B">
        <w:t xml:space="preserve">La empresa distribuidora no será responsable por conflictos dimanantes de lo antes expuesto y cualquier reclamación deberá ser dirigida al propietario o tenedor correspondiente. </w:t>
      </w:r>
    </w:p>
    <w:p w14:paraId="3BCFDC8E" w14:textId="420EA6D8" w:rsidR="000D5E36" w:rsidRDefault="00CF5B41" w:rsidP="00CF5B41">
      <w:pPr>
        <w:jc w:val="both"/>
        <w:rPr>
          <w:szCs w:val="24"/>
        </w:rPr>
      </w:pPr>
      <w:r w:rsidRPr="00043F6B">
        <w:t>Si el cliente que ocupaba el bien inmueble dejara una cuenta pendiente, la misma solo es atribuible a él y no podrá trasladarse al propietario del inmueble ni al nuevo cliente que pase a hacer uso del mismo, tal y como se establece en el artículo 4 del Capítulo V.1 de este Reglamento. El propietario del bien inmueble deberá realizar tal solicitud en forma diligente, y la Empresa Distribuidora deberá proceder a la conexión del nuevo servicio, una vez firmado el nuevo contrato y, el cliente haya pagado el respectivo depósito</w:t>
      </w:r>
      <w:r>
        <w:t>.</w:t>
      </w:r>
    </w:p>
    <w:p w14:paraId="627047D6" w14:textId="4B9CAEBF" w:rsidR="00B97D54" w:rsidRPr="000F39BC" w:rsidRDefault="00B97D54" w:rsidP="00B97D54">
      <w:pPr>
        <w:pStyle w:val="Prrafodelista"/>
        <w:numPr>
          <w:ilvl w:val="0"/>
          <w:numId w:val="16"/>
        </w:numPr>
        <w:jc w:val="both"/>
        <w:rPr>
          <w:b/>
          <w:color w:val="4472C4" w:themeColor="accent1"/>
          <w:szCs w:val="24"/>
        </w:rPr>
      </w:pPr>
      <w:r w:rsidRPr="000F39BC">
        <w:rPr>
          <w:b/>
          <w:color w:val="4472C4" w:themeColor="accent1"/>
          <w:szCs w:val="24"/>
        </w:rPr>
        <w:t>Donde dice</w:t>
      </w:r>
    </w:p>
    <w:p w14:paraId="62672FDC" w14:textId="77777777" w:rsidR="00964AF7" w:rsidRDefault="00D73846" w:rsidP="00B97D54">
      <w:pPr>
        <w:jc w:val="both"/>
        <w:rPr>
          <w:szCs w:val="24"/>
        </w:rPr>
      </w:pPr>
      <w:r w:rsidRPr="00D73846">
        <w:rPr>
          <w:b/>
          <w:bCs/>
          <w:szCs w:val="24"/>
        </w:rPr>
        <w:t xml:space="preserve">Artículo 28 </w:t>
      </w:r>
      <w:r w:rsidRPr="00946A11">
        <w:rPr>
          <w:szCs w:val="24"/>
        </w:rPr>
        <w:t>Se considera que un cliente estableció un buen historial de pago cuando no se excedió de la fecha de vencimiento en el pago de su factura más de tres (3) veces en un</w:t>
      </w:r>
      <w:r w:rsidR="00964AF7">
        <w:rPr>
          <w:szCs w:val="24"/>
        </w:rPr>
        <w:t xml:space="preserve"> </w:t>
      </w:r>
      <w:r w:rsidR="00964AF7" w:rsidRPr="00964AF7">
        <w:rPr>
          <w:szCs w:val="24"/>
        </w:rPr>
        <w:t xml:space="preserve">periodo de doce (12) meses consecutivos, y nunca en el mismo periodo se le suspendió el servicio por falta de pago. </w:t>
      </w:r>
    </w:p>
    <w:p w14:paraId="5A9982B6" w14:textId="77777777" w:rsidR="00964AF7" w:rsidRDefault="00964AF7" w:rsidP="00B97D54">
      <w:pPr>
        <w:jc w:val="both"/>
        <w:rPr>
          <w:szCs w:val="24"/>
        </w:rPr>
      </w:pPr>
      <w:r w:rsidRPr="00964AF7">
        <w:rPr>
          <w:szCs w:val="24"/>
        </w:rPr>
        <w:lastRenderedPageBreak/>
        <w:t>Cuando el cliente no cuenta con el depósito de garantía, la empresa distribuidora deberá llevar un registro de su historial de pago, para que le avise oportunamente en el caso de atraso en sus pagos.</w:t>
      </w:r>
    </w:p>
    <w:p w14:paraId="25F7C69E" w14:textId="77777777" w:rsidR="00964AF7" w:rsidRDefault="00964AF7" w:rsidP="00B97D54">
      <w:pPr>
        <w:jc w:val="both"/>
        <w:rPr>
          <w:szCs w:val="24"/>
        </w:rPr>
      </w:pPr>
      <w:r w:rsidRPr="00964AF7">
        <w:rPr>
          <w:szCs w:val="24"/>
        </w:rPr>
        <w:t xml:space="preserve">Cuando el cliente se haya excedido en la fecha de vencimiento en el pago de su factura, la empresa distribuidora deberá enviar una notificación, indicándole que; ha pagado con retraso y que por tanto podrá perder su condición de “cliente con buen historial de pago”. </w:t>
      </w:r>
    </w:p>
    <w:p w14:paraId="5754D446" w14:textId="77777777" w:rsidR="00964AF7" w:rsidRDefault="00964AF7" w:rsidP="00B97D54">
      <w:pPr>
        <w:jc w:val="both"/>
        <w:rPr>
          <w:szCs w:val="24"/>
        </w:rPr>
      </w:pPr>
      <w:r w:rsidRPr="00964AF7">
        <w:rPr>
          <w:szCs w:val="24"/>
        </w:rPr>
        <w:t xml:space="preserve">En el caso de que haya un tercer atraso por parte del cliente, en un periodo de doce meses, la empresa distribuidora deberá advertirle </w:t>
      </w:r>
      <w:proofErr w:type="gramStart"/>
      <w:r w:rsidRPr="00964AF7">
        <w:rPr>
          <w:szCs w:val="24"/>
        </w:rPr>
        <w:t>que</w:t>
      </w:r>
      <w:proofErr w:type="gramEnd"/>
      <w:r w:rsidRPr="00964AF7">
        <w:rPr>
          <w:szCs w:val="24"/>
        </w:rPr>
        <w:t xml:space="preserve"> si vuelve a excederse de la fecha de vencimiento en el pago de su factura, perderá su condición de buen historial de pago y se le cobrará el depósito de garantía. </w:t>
      </w:r>
    </w:p>
    <w:p w14:paraId="26530240" w14:textId="58A89B26" w:rsidR="00B97D54" w:rsidRDefault="00964AF7" w:rsidP="00B97D54">
      <w:pPr>
        <w:jc w:val="both"/>
        <w:rPr>
          <w:szCs w:val="24"/>
        </w:rPr>
      </w:pPr>
      <w:r w:rsidRPr="00964AF7">
        <w:rPr>
          <w:szCs w:val="24"/>
        </w:rPr>
        <w:t>A solicitud del cliente, la empresa distribuidora deberá expedir sin costo, una certificación al cliente que haya mantenido un buen historial de pago, para que le sirva como referencia de crédito para nuevas solicitudes de servicio eléctrico.</w:t>
      </w:r>
    </w:p>
    <w:p w14:paraId="40A65CF3" w14:textId="0B6693BE" w:rsidR="00B97D54" w:rsidRDefault="00B97D54" w:rsidP="00946A11">
      <w:pPr>
        <w:jc w:val="both"/>
        <w:rPr>
          <w:b/>
          <w:bCs/>
          <w:szCs w:val="24"/>
        </w:rPr>
      </w:pPr>
      <w:r>
        <w:rPr>
          <w:b/>
          <w:bCs/>
          <w:szCs w:val="24"/>
          <w:u w:val="single"/>
        </w:rPr>
        <w:t>Debe decir</w:t>
      </w:r>
      <w:r w:rsidR="00964AF7">
        <w:rPr>
          <w:b/>
          <w:bCs/>
          <w:szCs w:val="24"/>
          <w:u w:val="single"/>
        </w:rPr>
        <w:t xml:space="preserve"> </w:t>
      </w:r>
    </w:p>
    <w:p w14:paraId="7BCE13F7" w14:textId="77777777" w:rsidR="008D5A3A" w:rsidRDefault="008D5A3A" w:rsidP="008D5A3A">
      <w:pPr>
        <w:jc w:val="both"/>
        <w:rPr>
          <w:szCs w:val="24"/>
        </w:rPr>
      </w:pPr>
      <w:r w:rsidRPr="00D73846">
        <w:rPr>
          <w:b/>
          <w:bCs/>
          <w:szCs w:val="24"/>
        </w:rPr>
        <w:t xml:space="preserve">Artículo 28 </w:t>
      </w:r>
      <w:r w:rsidRPr="00946A11">
        <w:rPr>
          <w:szCs w:val="24"/>
        </w:rPr>
        <w:t>Se considera que un cliente estableció un buen historial de pago cuando no se excedió de la fecha de vencimiento en el pago de su factura más de tres (3) veces en un</w:t>
      </w:r>
      <w:r>
        <w:rPr>
          <w:szCs w:val="24"/>
        </w:rPr>
        <w:t xml:space="preserve"> </w:t>
      </w:r>
      <w:r w:rsidRPr="00964AF7">
        <w:rPr>
          <w:szCs w:val="24"/>
        </w:rPr>
        <w:t xml:space="preserve">periodo de doce (12) meses consecutivos, y nunca en el mismo periodo se le suspendió el servicio por falta de pago. </w:t>
      </w:r>
    </w:p>
    <w:p w14:paraId="2BE0D50E" w14:textId="77777777" w:rsidR="008D5A3A" w:rsidRDefault="008D5A3A" w:rsidP="008D5A3A">
      <w:pPr>
        <w:jc w:val="both"/>
        <w:rPr>
          <w:szCs w:val="24"/>
        </w:rPr>
      </w:pPr>
      <w:r w:rsidRPr="00964AF7">
        <w:rPr>
          <w:szCs w:val="24"/>
        </w:rPr>
        <w:t>Cuando el cliente no cuenta con el depósito de garantía, la empresa distribuidora deberá llevar un registro de su historial de pago, para que le avise oportunamente en el caso de atraso en sus pagos.</w:t>
      </w:r>
    </w:p>
    <w:p w14:paraId="6B5A4A55" w14:textId="77777777" w:rsidR="008D5A3A" w:rsidRDefault="008D5A3A" w:rsidP="008D5A3A">
      <w:pPr>
        <w:jc w:val="both"/>
        <w:rPr>
          <w:szCs w:val="24"/>
        </w:rPr>
      </w:pPr>
      <w:r w:rsidRPr="00964AF7">
        <w:rPr>
          <w:szCs w:val="24"/>
        </w:rPr>
        <w:t xml:space="preserve">Cuando el cliente se haya excedido en la fecha de vencimiento en el pago de su factura, la empresa distribuidora deberá enviar una notificación, indicándole que; ha pagado con retraso y que por tanto podrá perder su condición de “cliente con buen historial de pago”. </w:t>
      </w:r>
    </w:p>
    <w:p w14:paraId="01E28D54" w14:textId="7DA01CA4" w:rsidR="008D5A3A" w:rsidRDefault="008D5A3A" w:rsidP="008D5A3A">
      <w:pPr>
        <w:jc w:val="both"/>
        <w:rPr>
          <w:szCs w:val="24"/>
        </w:rPr>
      </w:pPr>
      <w:r w:rsidRPr="00964AF7">
        <w:rPr>
          <w:szCs w:val="24"/>
        </w:rPr>
        <w:t>En el caso de que haya un tercer atraso por parte del cliente, en un periodo de doce meses, la empresa distribuidora deberá advertirle que</w:t>
      </w:r>
      <w:r w:rsidR="000F39BC">
        <w:rPr>
          <w:szCs w:val="24"/>
        </w:rPr>
        <w:t>,</w:t>
      </w:r>
      <w:r w:rsidRPr="00964AF7">
        <w:rPr>
          <w:szCs w:val="24"/>
        </w:rPr>
        <w:t xml:space="preserve"> si vuelve a excederse de la fecha de vencimiento en el pago de su factura, perderá su condición de buen historial de pago y se le cobrará el depósito de garantía. </w:t>
      </w:r>
    </w:p>
    <w:p w14:paraId="6B547919" w14:textId="422D2249" w:rsidR="008D5A3A" w:rsidRDefault="008D5A3A" w:rsidP="008D5A3A">
      <w:pPr>
        <w:jc w:val="both"/>
        <w:rPr>
          <w:szCs w:val="24"/>
        </w:rPr>
      </w:pPr>
      <w:r w:rsidRPr="00964AF7">
        <w:rPr>
          <w:szCs w:val="24"/>
        </w:rPr>
        <w:t xml:space="preserve">A solicitud del cliente, la empresa distribuidora deberá expedir sin costo, una certificación </w:t>
      </w:r>
      <w:r w:rsidR="0081657C" w:rsidRPr="0074598A">
        <w:rPr>
          <w:color w:val="EE0000"/>
        </w:rPr>
        <w:t xml:space="preserve">y/o </w:t>
      </w:r>
      <w:r w:rsidR="00BA1481" w:rsidRPr="0074598A">
        <w:rPr>
          <w:color w:val="EE0000"/>
        </w:rPr>
        <w:t>un</w:t>
      </w:r>
      <w:r w:rsidR="00991F77" w:rsidRPr="0074598A">
        <w:rPr>
          <w:color w:val="EE0000"/>
        </w:rPr>
        <w:t xml:space="preserve"> </w:t>
      </w:r>
      <w:r w:rsidR="0081657C" w:rsidRPr="0074598A">
        <w:rPr>
          <w:color w:val="EE0000"/>
        </w:rPr>
        <w:t>paz y salvo</w:t>
      </w:r>
      <w:r w:rsidR="0081657C" w:rsidRPr="0074598A">
        <w:rPr>
          <w:color w:val="EE0000"/>
          <w:szCs w:val="24"/>
        </w:rPr>
        <w:t xml:space="preserve"> </w:t>
      </w:r>
      <w:r w:rsidRPr="00964AF7">
        <w:rPr>
          <w:szCs w:val="24"/>
        </w:rPr>
        <w:t>al cliente que haya mantenido un buen historial de pago, para que le sirva como referencia de crédito para nuevas solicitudes de servicio eléctrico.</w:t>
      </w:r>
    </w:p>
    <w:p w14:paraId="05C15C08" w14:textId="0ABFA56A" w:rsidR="0081657C" w:rsidRPr="000F39BC" w:rsidRDefault="0081657C" w:rsidP="00991F77">
      <w:pPr>
        <w:pStyle w:val="Prrafodelista"/>
        <w:numPr>
          <w:ilvl w:val="0"/>
          <w:numId w:val="16"/>
        </w:numPr>
        <w:jc w:val="both"/>
        <w:rPr>
          <w:b/>
          <w:color w:val="4472C4" w:themeColor="accent1"/>
          <w:szCs w:val="24"/>
        </w:rPr>
      </w:pPr>
      <w:r w:rsidRPr="000F39BC">
        <w:rPr>
          <w:b/>
          <w:color w:val="4472C4" w:themeColor="accent1"/>
          <w:szCs w:val="24"/>
        </w:rPr>
        <w:t>Donde dice</w:t>
      </w:r>
    </w:p>
    <w:p w14:paraId="0756B010" w14:textId="56ACA94F" w:rsidR="0081657C" w:rsidRPr="00991F77" w:rsidRDefault="0081657C" w:rsidP="0081657C">
      <w:pPr>
        <w:jc w:val="both"/>
        <w:rPr>
          <w:szCs w:val="24"/>
          <w:lang w:val="es-MX"/>
        </w:rPr>
      </w:pPr>
      <w:r w:rsidRPr="00991F77">
        <w:rPr>
          <w:b/>
          <w:szCs w:val="24"/>
          <w:lang w:val="es-MX"/>
        </w:rPr>
        <w:t>Artículo 34</w:t>
      </w:r>
      <w:r w:rsidRPr="00991F77">
        <w:rPr>
          <w:szCs w:val="24"/>
          <w:lang w:val="es-MX"/>
        </w:rPr>
        <w:tab/>
        <w:t xml:space="preserve">Cuando el cliente haga uso de la energía eléctrica mediante fraude debidamente comprobado conforme a la reglamentación de la ASEP, la empresa distribuidora podrá cobrar al cliente una estimación de la facturación, por todo el periodo comprobado.  En el caso de que no se pueda comprobar el periodo de tiempo en el que el </w:t>
      </w:r>
      <w:r w:rsidRPr="00991F77">
        <w:rPr>
          <w:szCs w:val="24"/>
          <w:lang w:val="es-MX"/>
        </w:rPr>
        <w:lastRenderedPageBreak/>
        <w:t>cliente adquirió la energía eléctrica en forma fraudulenta, la empresa distribuidora solo puede cobrar al cliente una estimación de la facturación sobre un periodo de hasta seis meses.</w:t>
      </w:r>
    </w:p>
    <w:p w14:paraId="58F52621" w14:textId="4F729869" w:rsidR="008D5A3A" w:rsidRDefault="0081657C" w:rsidP="0028797E">
      <w:pPr>
        <w:jc w:val="both"/>
        <w:rPr>
          <w:szCs w:val="24"/>
          <w:lang w:val="es-MX"/>
        </w:rPr>
      </w:pPr>
      <w:r w:rsidRPr="00991F77">
        <w:rPr>
          <w:szCs w:val="24"/>
          <w:lang w:val="es-MX"/>
        </w:rPr>
        <w:t xml:space="preserve">En cualquiera de los dos casos, a la estimación del consumo dejado de cobrar se le aplicará la tarifa vigente en dicho periodo más un recargo de hasta el diez por ciento (10%) sobre la factura de estos consumos.  Este recargo es para cubrir todos los gastos asociados al fraude.  La empresa distribuidora no podrá cobrar ningún cargo adicional que no esté aprobado por la ASEP. </w:t>
      </w:r>
    </w:p>
    <w:p w14:paraId="5BE7EEFA" w14:textId="011B1EB1" w:rsidR="0081657C" w:rsidRDefault="0028797E" w:rsidP="0081657C">
      <w:pPr>
        <w:jc w:val="both"/>
        <w:rPr>
          <w:szCs w:val="24"/>
          <w:lang w:val="es-MX"/>
        </w:rPr>
      </w:pPr>
      <w:r>
        <w:rPr>
          <w:b/>
          <w:bCs/>
          <w:szCs w:val="24"/>
          <w:u w:val="single"/>
        </w:rPr>
        <w:t>Debe decir</w:t>
      </w:r>
    </w:p>
    <w:p w14:paraId="15C3438F" w14:textId="77777777" w:rsidR="0081657C" w:rsidRPr="0020263F" w:rsidRDefault="0081657C" w:rsidP="0081657C">
      <w:pPr>
        <w:jc w:val="both"/>
        <w:rPr>
          <w:szCs w:val="24"/>
          <w:lang w:val="es-MX"/>
        </w:rPr>
      </w:pPr>
      <w:r w:rsidRPr="00565F3A">
        <w:rPr>
          <w:b/>
          <w:szCs w:val="24"/>
          <w:lang w:val="es-MX"/>
        </w:rPr>
        <w:t>Artículo 34</w:t>
      </w:r>
      <w:r w:rsidRPr="0020263F">
        <w:rPr>
          <w:szCs w:val="24"/>
          <w:lang w:val="es-MX"/>
        </w:rPr>
        <w:tab/>
        <w:t>Cuando el cliente haga uso de la energía eléctrica mediante fraude debidamente comprobado conforme a la reglamentación de la ASEP, la empresa distribuidora podrá cobrar al cliente una estimación de la facturación, por todo el periodo comprobado.  En el caso de que no se pueda comprobar el periodo de tiempo en el que el cliente adquirió la energía eléctrica en forma fraudulenta, la empresa distribuidora solo puede cobrar al cliente una estimación de la facturación sobre un periodo de hasta seis meses.</w:t>
      </w:r>
    </w:p>
    <w:p w14:paraId="7F0380AA" w14:textId="79B89E18" w:rsidR="0081657C" w:rsidRPr="0020263F" w:rsidRDefault="0081657C" w:rsidP="0081657C">
      <w:pPr>
        <w:jc w:val="both"/>
        <w:rPr>
          <w:szCs w:val="24"/>
          <w:lang w:val="es-MX"/>
        </w:rPr>
      </w:pPr>
      <w:r w:rsidRPr="0020263F">
        <w:rPr>
          <w:szCs w:val="24"/>
          <w:lang w:val="es-MX"/>
        </w:rPr>
        <w:t xml:space="preserve">En cualquiera de los dos casos, a la estimación del consumo dejado de cobrar se le aplicará la tarifa vigente en dicho periodo más un recargo de hasta el diez por ciento (10%) sobre la factura de estos consumos.  Este recargo es para cubrir todos los gastos asociados al fraude.  La empresa distribuidora no podrá cobrar ningún cargo adicional que no esté aprobado por la ASEP. </w:t>
      </w:r>
      <w:bookmarkStart w:id="1" w:name="_Hlk213523135"/>
    </w:p>
    <w:p w14:paraId="7C0B136D" w14:textId="73D17033" w:rsidR="0081657C" w:rsidRPr="00CF094F" w:rsidRDefault="0081657C" w:rsidP="0081657C">
      <w:pPr>
        <w:jc w:val="both"/>
        <w:rPr>
          <w:color w:val="EE0000"/>
          <w:szCs w:val="24"/>
          <w:lang w:val="es-MX"/>
        </w:rPr>
      </w:pPr>
      <w:r w:rsidRPr="00CF094F">
        <w:rPr>
          <w:color w:val="EE0000"/>
          <w:szCs w:val="24"/>
          <w:lang w:val="es-MX"/>
        </w:rPr>
        <w:t xml:space="preserve">Para el cobro de la energía dejada de facturar, </w:t>
      </w:r>
      <w:r w:rsidR="004618BF" w:rsidRPr="00CF094F">
        <w:rPr>
          <w:color w:val="EE0000"/>
          <w:szCs w:val="24"/>
          <w:lang w:val="es-MX"/>
        </w:rPr>
        <w:t>l</w:t>
      </w:r>
      <w:r w:rsidRPr="00CF094F">
        <w:rPr>
          <w:color w:val="EE0000"/>
          <w:szCs w:val="24"/>
          <w:lang w:val="es-MX"/>
        </w:rPr>
        <w:t>a</w:t>
      </w:r>
      <w:r w:rsidR="00601AA7" w:rsidRPr="00CF094F">
        <w:rPr>
          <w:color w:val="EE0000"/>
          <w:szCs w:val="24"/>
          <w:lang w:val="es-MX"/>
        </w:rPr>
        <w:t>s</w:t>
      </w:r>
      <w:r w:rsidRPr="00CF094F">
        <w:rPr>
          <w:color w:val="EE0000"/>
          <w:szCs w:val="24"/>
          <w:lang w:val="es-MX"/>
        </w:rPr>
        <w:t xml:space="preserve"> </w:t>
      </w:r>
      <w:r w:rsidR="00601AA7" w:rsidRPr="00CF094F">
        <w:rPr>
          <w:color w:val="EE0000"/>
          <w:szCs w:val="24"/>
          <w:lang w:val="es-MX"/>
        </w:rPr>
        <w:t>e</w:t>
      </w:r>
      <w:r w:rsidRPr="00CF094F">
        <w:rPr>
          <w:color w:val="EE0000"/>
          <w:szCs w:val="24"/>
          <w:lang w:val="es-MX"/>
        </w:rPr>
        <w:t>mpresa</w:t>
      </w:r>
      <w:r w:rsidR="007544B4">
        <w:rPr>
          <w:color w:val="EE0000"/>
          <w:szCs w:val="24"/>
          <w:lang w:val="es-MX"/>
        </w:rPr>
        <w:t>s</w:t>
      </w:r>
      <w:r w:rsidR="00601AA7" w:rsidRPr="00CF094F">
        <w:rPr>
          <w:color w:val="EE0000"/>
          <w:szCs w:val="24"/>
          <w:lang w:val="es-MX"/>
        </w:rPr>
        <w:t xml:space="preserve"> de</w:t>
      </w:r>
      <w:r w:rsidRPr="00CF094F">
        <w:rPr>
          <w:color w:val="EE0000"/>
          <w:szCs w:val="24"/>
          <w:lang w:val="es-MX"/>
        </w:rPr>
        <w:t xml:space="preserve"> </w:t>
      </w:r>
      <w:r w:rsidR="00601AA7" w:rsidRPr="00CF094F">
        <w:rPr>
          <w:color w:val="EE0000"/>
          <w:szCs w:val="24"/>
          <w:lang w:val="es-MX"/>
        </w:rPr>
        <w:t>d</w:t>
      </w:r>
      <w:r w:rsidRPr="00CF094F">
        <w:rPr>
          <w:color w:val="EE0000"/>
          <w:szCs w:val="24"/>
          <w:lang w:val="es-MX"/>
        </w:rPr>
        <w:t>istribu</w:t>
      </w:r>
      <w:r w:rsidR="00601AA7" w:rsidRPr="00CF094F">
        <w:rPr>
          <w:color w:val="EE0000"/>
          <w:szCs w:val="24"/>
          <w:lang w:val="es-MX"/>
        </w:rPr>
        <w:t>ción</w:t>
      </w:r>
      <w:r w:rsidRPr="00CF094F">
        <w:rPr>
          <w:color w:val="EE0000"/>
          <w:szCs w:val="24"/>
          <w:lang w:val="es-MX"/>
        </w:rPr>
        <w:t xml:space="preserve"> podrá</w:t>
      </w:r>
      <w:r w:rsidR="00601AA7" w:rsidRPr="00CF094F">
        <w:rPr>
          <w:color w:val="EE0000"/>
          <w:szCs w:val="24"/>
          <w:lang w:val="es-MX"/>
        </w:rPr>
        <w:t>n</w:t>
      </w:r>
      <w:r w:rsidRPr="00CF094F">
        <w:rPr>
          <w:color w:val="EE0000"/>
          <w:szCs w:val="24"/>
          <w:lang w:val="es-MX"/>
        </w:rPr>
        <w:t xml:space="preserve"> realizar convenios de pago </w:t>
      </w:r>
      <w:r w:rsidR="00601AA7" w:rsidRPr="00CF094F">
        <w:rPr>
          <w:color w:val="EE0000"/>
          <w:szCs w:val="24"/>
          <w:lang w:val="es-MX"/>
        </w:rPr>
        <w:t>con sus</w:t>
      </w:r>
      <w:r w:rsidRPr="00CF094F">
        <w:rPr>
          <w:color w:val="EE0000"/>
          <w:szCs w:val="24"/>
          <w:lang w:val="es-MX"/>
        </w:rPr>
        <w:t xml:space="preserve"> </w:t>
      </w:r>
      <w:r w:rsidR="00601AA7" w:rsidRPr="00CF094F">
        <w:rPr>
          <w:color w:val="EE0000"/>
          <w:szCs w:val="24"/>
          <w:lang w:val="es-MX"/>
        </w:rPr>
        <w:t>c</w:t>
      </w:r>
      <w:r w:rsidRPr="00CF094F">
        <w:rPr>
          <w:color w:val="EE0000"/>
          <w:szCs w:val="24"/>
          <w:lang w:val="es-MX"/>
        </w:rPr>
        <w:t>liente</w:t>
      </w:r>
      <w:r w:rsidR="00601AA7" w:rsidRPr="00CF094F">
        <w:rPr>
          <w:color w:val="EE0000"/>
          <w:szCs w:val="24"/>
          <w:lang w:val="es-MX"/>
        </w:rPr>
        <w:t>s</w:t>
      </w:r>
      <w:r w:rsidRPr="00CF094F">
        <w:rPr>
          <w:color w:val="EE0000"/>
          <w:szCs w:val="24"/>
          <w:lang w:val="es-MX"/>
        </w:rPr>
        <w:t>.</w:t>
      </w:r>
    </w:p>
    <w:bookmarkEnd w:id="1"/>
    <w:p w14:paraId="4143DF7C" w14:textId="2FD860FE" w:rsidR="000D06EB" w:rsidRPr="00CF094F" w:rsidRDefault="00A731F2" w:rsidP="00697DE6">
      <w:pPr>
        <w:pStyle w:val="Prrafodelista"/>
        <w:numPr>
          <w:ilvl w:val="0"/>
          <w:numId w:val="16"/>
        </w:numPr>
        <w:jc w:val="both"/>
        <w:rPr>
          <w:bCs/>
          <w:szCs w:val="24"/>
        </w:rPr>
      </w:pPr>
      <w:r w:rsidRPr="00CF094F">
        <w:rPr>
          <w:bCs/>
          <w:szCs w:val="24"/>
        </w:rPr>
        <w:t>Donde dice</w:t>
      </w:r>
    </w:p>
    <w:p w14:paraId="4D96B427" w14:textId="77777777" w:rsidR="00A731F2" w:rsidRDefault="00A731F2" w:rsidP="00A731F2">
      <w:pPr>
        <w:jc w:val="both"/>
        <w:rPr>
          <w:szCs w:val="24"/>
        </w:rPr>
      </w:pPr>
      <w:r w:rsidRPr="00E761EA">
        <w:rPr>
          <w:b/>
          <w:szCs w:val="24"/>
        </w:rPr>
        <w:t>Artículo 40</w:t>
      </w:r>
      <w:r w:rsidRPr="00A731F2">
        <w:rPr>
          <w:szCs w:val="24"/>
        </w:rPr>
        <w:t xml:space="preserve"> Las facturas deberán contar como mínimo con la siguiente información: </w:t>
      </w:r>
    </w:p>
    <w:p w14:paraId="407C2ADD" w14:textId="77777777" w:rsidR="002046D6" w:rsidRDefault="00A731F2" w:rsidP="00946A11">
      <w:pPr>
        <w:pStyle w:val="Prrafodelista"/>
        <w:numPr>
          <w:ilvl w:val="0"/>
          <w:numId w:val="24"/>
        </w:numPr>
        <w:jc w:val="both"/>
      </w:pPr>
      <w:r w:rsidRPr="00A731F2">
        <w:t xml:space="preserve">Variables de consumo (energía/demanda –facturada y leída- en punta y/o fuera de punta según corresponda). </w:t>
      </w:r>
    </w:p>
    <w:p w14:paraId="6E7B2BC7" w14:textId="77777777" w:rsidR="00421DB2" w:rsidRDefault="00A731F2" w:rsidP="00946A11">
      <w:pPr>
        <w:pStyle w:val="Prrafodelista"/>
        <w:numPr>
          <w:ilvl w:val="0"/>
          <w:numId w:val="26"/>
        </w:numPr>
        <w:jc w:val="both"/>
      </w:pPr>
      <w:r w:rsidRPr="00A731F2">
        <w:t xml:space="preserve">Para los Grandes Clientes también se debe presentar además del detalle de la demanda leída en su punto de entrega, la reserva de confiabilidad asignada y las pérdidas en potencia asignadas, para su clara identificación. </w:t>
      </w:r>
    </w:p>
    <w:p w14:paraId="725D7B0B" w14:textId="77777777" w:rsidR="00421DB2" w:rsidRDefault="00A731F2" w:rsidP="00946A11">
      <w:pPr>
        <w:pStyle w:val="Prrafodelista"/>
        <w:numPr>
          <w:ilvl w:val="0"/>
          <w:numId w:val="24"/>
        </w:numPr>
        <w:jc w:val="both"/>
      </w:pPr>
      <w:r w:rsidRPr="00A731F2">
        <w:t>Valores de energía reactiva y factor de potencia asociado al consumo en el caso que corresponda.</w:t>
      </w:r>
    </w:p>
    <w:p w14:paraId="4335D7B8" w14:textId="77777777" w:rsidR="00421DB2" w:rsidRDefault="00A731F2" w:rsidP="00946A11">
      <w:pPr>
        <w:pStyle w:val="Prrafodelista"/>
        <w:numPr>
          <w:ilvl w:val="0"/>
          <w:numId w:val="24"/>
        </w:numPr>
        <w:jc w:val="both"/>
      </w:pPr>
      <w:r w:rsidRPr="00A731F2">
        <w:t>Intereses y monto final correspondiente.</w:t>
      </w:r>
    </w:p>
    <w:p w14:paraId="38CA5213" w14:textId="77777777" w:rsidR="00421DB2" w:rsidRDefault="00A731F2" w:rsidP="00946A11">
      <w:pPr>
        <w:pStyle w:val="Prrafodelista"/>
        <w:numPr>
          <w:ilvl w:val="0"/>
          <w:numId w:val="24"/>
        </w:numPr>
        <w:jc w:val="both"/>
      </w:pPr>
      <w:r w:rsidRPr="00A731F2">
        <w:t>Teléfono de atención Comercial y de Emergencias.</w:t>
      </w:r>
    </w:p>
    <w:p w14:paraId="25F63D0D" w14:textId="77777777" w:rsidR="00421DB2" w:rsidRDefault="00A731F2" w:rsidP="00946A11">
      <w:pPr>
        <w:pStyle w:val="Prrafodelista"/>
        <w:numPr>
          <w:ilvl w:val="0"/>
          <w:numId w:val="24"/>
        </w:numPr>
        <w:jc w:val="both"/>
      </w:pPr>
      <w:r w:rsidRPr="00A731F2">
        <w:t xml:space="preserve">Lugares de pago. </w:t>
      </w:r>
    </w:p>
    <w:p w14:paraId="28B9F95F" w14:textId="77777777" w:rsidR="00421DB2" w:rsidRDefault="00A731F2" w:rsidP="00946A11">
      <w:pPr>
        <w:pStyle w:val="Prrafodelista"/>
        <w:numPr>
          <w:ilvl w:val="0"/>
          <w:numId w:val="24"/>
        </w:numPr>
        <w:jc w:val="both"/>
      </w:pPr>
      <w:r w:rsidRPr="00A731F2">
        <w:t xml:space="preserve">Datos de la ASEP, con un texto que indique la posibilidad de realizar denuncias ante la ASEP. </w:t>
      </w:r>
    </w:p>
    <w:p w14:paraId="2888A623" w14:textId="77777777" w:rsidR="00421DB2" w:rsidRDefault="00A731F2" w:rsidP="00946A11">
      <w:pPr>
        <w:pStyle w:val="Prrafodelista"/>
        <w:numPr>
          <w:ilvl w:val="0"/>
          <w:numId w:val="24"/>
        </w:numPr>
        <w:jc w:val="both"/>
      </w:pPr>
      <w:r w:rsidRPr="00A731F2">
        <w:t xml:space="preserve">Tarifa aplicada. </w:t>
      </w:r>
    </w:p>
    <w:p w14:paraId="4F9E1937" w14:textId="77777777" w:rsidR="00421DB2" w:rsidRDefault="00A731F2" w:rsidP="00946A11">
      <w:pPr>
        <w:pStyle w:val="Prrafodelista"/>
        <w:numPr>
          <w:ilvl w:val="0"/>
          <w:numId w:val="24"/>
        </w:numPr>
        <w:jc w:val="both"/>
      </w:pPr>
      <w:r w:rsidRPr="00A731F2">
        <w:t xml:space="preserve">Detalle del cálculo de facturación (cargo fijo, cargo variable, subsidios, ajustes, porción correspondiente a distribución, transmisión y generación). </w:t>
      </w:r>
    </w:p>
    <w:p w14:paraId="7FAAC064" w14:textId="77777777" w:rsidR="00421DB2" w:rsidRDefault="00A731F2" w:rsidP="00946A11">
      <w:pPr>
        <w:pStyle w:val="Prrafodelista"/>
        <w:numPr>
          <w:ilvl w:val="0"/>
          <w:numId w:val="24"/>
        </w:numPr>
        <w:jc w:val="both"/>
      </w:pPr>
      <w:r w:rsidRPr="00A731F2">
        <w:lastRenderedPageBreak/>
        <w:t xml:space="preserve">Tipo de lectura (real/estimada). </w:t>
      </w:r>
    </w:p>
    <w:p w14:paraId="0977DCA0" w14:textId="46696C21" w:rsidR="00A731F2" w:rsidRDefault="00A731F2" w:rsidP="00946A11">
      <w:pPr>
        <w:pStyle w:val="Prrafodelista"/>
        <w:numPr>
          <w:ilvl w:val="0"/>
          <w:numId w:val="24"/>
        </w:numPr>
        <w:jc w:val="both"/>
      </w:pPr>
      <w:r w:rsidRPr="00A731F2">
        <w:t>Lectura anterior y actual del medidor</w:t>
      </w:r>
      <w:r w:rsidR="00144A35">
        <w:t>.</w:t>
      </w:r>
    </w:p>
    <w:p w14:paraId="02B314D0" w14:textId="33E2344F" w:rsidR="00144A35" w:rsidRDefault="00144A35" w:rsidP="00946A11">
      <w:pPr>
        <w:pStyle w:val="Prrafodelista"/>
        <w:numPr>
          <w:ilvl w:val="0"/>
          <w:numId w:val="24"/>
        </w:numPr>
        <w:jc w:val="both"/>
      </w:pPr>
      <w:r w:rsidRPr="00144A35">
        <w:t>Período de lectura y cantidad de días facturados</w:t>
      </w:r>
      <w:r>
        <w:t>.</w:t>
      </w:r>
    </w:p>
    <w:p w14:paraId="11D5EAEC" w14:textId="4F402D5E" w:rsidR="00144A35" w:rsidRDefault="00144A35" w:rsidP="00946A11">
      <w:pPr>
        <w:pStyle w:val="Prrafodelista"/>
        <w:numPr>
          <w:ilvl w:val="0"/>
          <w:numId w:val="24"/>
        </w:numPr>
        <w:jc w:val="both"/>
      </w:pPr>
      <w:r w:rsidRPr="00144A35">
        <w:t>Saldo adeudado a 30 días</w:t>
      </w:r>
      <w:r>
        <w:t>.</w:t>
      </w:r>
    </w:p>
    <w:p w14:paraId="66A82EC8" w14:textId="7833D412" w:rsidR="00144A35" w:rsidRDefault="00144A35" w:rsidP="00946A11">
      <w:pPr>
        <w:pStyle w:val="Prrafodelista"/>
        <w:numPr>
          <w:ilvl w:val="0"/>
          <w:numId w:val="24"/>
        </w:numPr>
        <w:jc w:val="both"/>
      </w:pPr>
      <w:r w:rsidRPr="00144A35">
        <w:t>Saldo adeudado a 60 días</w:t>
      </w:r>
      <w:r>
        <w:t>.</w:t>
      </w:r>
    </w:p>
    <w:p w14:paraId="66ECF648" w14:textId="4AE8F913" w:rsidR="00144A35" w:rsidRDefault="00144A35" w:rsidP="00946A11">
      <w:pPr>
        <w:pStyle w:val="Prrafodelista"/>
        <w:numPr>
          <w:ilvl w:val="0"/>
          <w:numId w:val="24"/>
        </w:numPr>
        <w:jc w:val="both"/>
      </w:pPr>
      <w:r w:rsidRPr="00144A35">
        <w:t xml:space="preserve">Historial de consumo (kWh) y demanda leída (kW) mensual (datos) de los últimos 12 meses. </w:t>
      </w:r>
    </w:p>
    <w:p w14:paraId="1BF5D706" w14:textId="44E09A03" w:rsidR="00144A35" w:rsidRDefault="00144A35" w:rsidP="00946A11">
      <w:pPr>
        <w:pStyle w:val="Prrafodelista"/>
        <w:numPr>
          <w:ilvl w:val="0"/>
          <w:numId w:val="24"/>
        </w:numPr>
        <w:jc w:val="both"/>
      </w:pPr>
      <w:r w:rsidRPr="00144A35">
        <w:t>Cargos por conexión y reconexión por motivos de suspensión del servicio</w:t>
      </w:r>
      <w:r>
        <w:t>.</w:t>
      </w:r>
    </w:p>
    <w:p w14:paraId="00FB9326" w14:textId="563EDAC6" w:rsidR="00144A35" w:rsidRDefault="00144A35" w:rsidP="00946A11">
      <w:pPr>
        <w:pStyle w:val="Prrafodelista"/>
        <w:numPr>
          <w:ilvl w:val="0"/>
          <w:numId w:val="24"/>
        </w:numPr>
        <w:jc w:val="both"/>
      </w:pPr>
      <w:r w:rsidRPr="00144A35">
        <w:t xml:space="preserve">Reducciones Tarifarias. </w:t>
      </w:r>
    </w:p>
    <w:p w14:paraId="69B20B32" w14:textId="77777777" w:rsidR="00144A35" w:rsidRDefault="00144A35" w:rsidP="00946A11">
      <w:pPr>
        <w:pStyle w:val="Prrafodelista"/>
        <w:numPr>
          <w:ilvl w:val="0"/>
          <w:numId w:val="24"/>
        </w:numPr>
        <w:jc w:val="both"/>
      </w:pPr>
      <w:r w:rsidRPr="00144A35">
        <w:t xml:space="preserve">Estadísticas de interrupciones del servicio eléctrico para cada cliente de que fue objeto en el período de facturación anterior. </w:t>
      </w:r>
    </w:p>
    <w:p w14:paraId="28E25CBF" w14:textId="77777777" w:rsidR="00144A35" w:rsidRDefault="00144A35" w:rsidP="00946A11">
      <w:pPr>
        <w:pStyle w:val="Prrafodelista"/>
        <w:numPr>
          <w:ilvl w:val="0"/>
          <w:numId w:val="24"/>
        </w:numPr>
        <w:jc w:val="both"/>
      </w:pPr>
      <w:r w:rsidRPr="00144A35">
        <w:t xml:space="preserve">Fecha y hora de la demanda máxima del período de facturación en los casos en que el medidor pueda suministrar esta información. </w:t>
      </w:r>
    </w:p>
    <w:p w14:paraId="101C5A2E" w14:textId="1E5919BC" w:rsidR="00144A35" w:rsidRDefault="00144A35" w:rsidP="00946A11">
      <w:pPr>
        <w:pStyle w:val="Prrafodelista"/>
        <w:numPr>
          <w:ilvl w:val="0"/>
          <w:numId w:val="24"/>
        </w:numPr>
        <w:jc w:val="both"/>
      </w:pPr>
      <w:r w:rsidRPr="00144A35">
        <w:t>Detalles del depósito de garantía</w:t>
      </w:r>
      <w:r>
        <w:t>.</w:t>
      </w:r>
    </w:p>
    <w:p w14:paraId="5798BEDC" w14:textId="77777777" w:rsidR="002C44CA" w:rsidRDefault="00144A35" w:rsidP="00946A11">
      <w:pPr>
        <w:pStyle w:val="Prrafodelista"/>
        <w:numPr>
          <w:ilvl w:val="0"/>
          <w:numId w:val="24"/>
        </w:numPr>
        <w:jc w:val="both"/>
      </w:pPr>
      <w:r w:rsidRPr="00144A35">
        <w:t xml:space="preserve">Fecha de vencimiento de la factura </w:t>
      </w:r>
    </w:p>
    <w:p w14:paraId="42A02F86" w14:textId="505A5B91" w:rsidR="00144A35" w:rsidRPr="00A731F2" w:rsidRDefault="00144A35" w:rsidP="00946A11">
      <w:pPr>
        <w:pStyle w:val="Prrafodelista"/>
        <w:numPr>
          <w:ilvl w:val="0"/>
          <w:numId w:val="24"/>
        </w:numPr>
        <w:jc w:val="both"/>
      </w:pPr>
      <w:r w:rsidRPr="00144A35">
        <w:t>Historial de pago de los últimos tres meses (fecha y monto pagado).</w:t>
      </w:r>
    </w:p>
    <w:p w14:paraId="02A980A4" w14:textId="47742EFD" w:rsidR="00A731F2" w:rsidRDefault="00A731F2" w:rsidP="00F475F9">
      <w:pPr>
        <w:spacing w:before="240"/>
        <w:jc w:val="both"/>
        <w:rPr>
          <w:b/>
          <w:bCs/>
          <w:szCs w:val="24"/>
        </w:rPr>
      </w:pPr>
      <w:r>
        <w:rPr>
          <w:b/>
          <w:bCs/>
          <w:szCs w:val="24"/>
          <w:u w:val="single"/>
        </w:rPr>
        <w:t>Debe decir</w:t>
      </w:r>
      <w:r w:rsidR="00144A35">
        <w:rPr>
          <w:b/>
          <w:bCs/>
          <w:szCs w:val="24"/>
          <w:u w:val="single"/>
        </w:rPr>
        <w:t xml:space="preserve"> </w:t>
      </w:r>
    </w:p>
    <w:p w14:paraId="54A280B2" w14:textId="77777777" w:rsidR="0081657C" w:rsidRDefault="0081657C" w:rsidP="0081657C">
      <w:pPr>
        <w:jc w:val="both"/>
        <w:rPr>
          <w:szCs w:val="24"/>
        </w:rPr>
      </w:pPr>
      <w:r w:rsidRPr="00E761EA">
        <w:rPr>
          <w:b/>
          <w:szCs w:val="24"/>
        </w:rPr>
        <w:t>Artículo 40</w:t>
      </w:r>
      <w:r w:rsidRPr="00A731F2">
        <w:rPr>
          <w:szCs w:val="24"/>
        </w:rPr>
        <w:t xml:space="preserve"> Las facturas deberán contar como mínimo con la siguiente información: </w:t>
      </w:r>
    </w:p>
    <w:p w14:paraId="793021B3" w14:textId="77777777" w:rsidR="0081657C" w:rsidRDefault="0081657C" w:rsidP="004E740A">
      <w:pPr>
        <w:pStyle w:val="Prrafodelista"/>
        <w:numPr>
          <w:ilvl w:val="0"/>
          <w:numId w:val="29"/>
        </w:numPr>
        <w:jc w:val="both"/>
      </w:pPr>
      <w:r w:rsidRPr="00A731F2">
        <w:t xml:space="preserve">Variables de consumo (energía/demanda –facturada y leída- en punta y/o fuera de punta según corresponda). </w:t>
      </w:r>
    </w:p>
    <w:p w14:paraId="14EFEF0A" w14:textId="77777777" w:rsidR="0081657C" w:rsidRDefault="0081657C" w:rsidP="00561CF6">
      <w:pPr>
        <w:pStyle w:val="Prrafodelista"/>
        <w:numPr>
          <w:ilvl w:val="0"/>
          <w:numId w:val="30"/>
        </w:numPr>
        <w:jc w:val="both"/>
      </w:pPr>
      <w:r w:rsidRPr="00A731F2">
        <w:t xml:space="preserve">Para los Grandes Clientes también se debe presentar además del detalle de la demanda leída en su punto de entrega, la reserva de confiabilidad asignada y las pérdidas en potencia asignadas, para su clara identificación. </w:t>
      </w:r>
    </w:p>
    <w:p w14:paraId="17570158" w14:textId="28D19C36" w:rsidR="004E740A" w:rsidRDefault="00561CF6" w:rsidP="00561CF6">
      <w:pPr>
        <w:pStyle w:val="Prrafodelista"/>
        <w:numPr>
          <w:ilvl w:val="0"/>
          <w:numId w:val="30"/>
        </w:numPr>
        <w:jc w:val="both"/>
      </w:pPr>
      <w:r w:rsidRPr="007544B4">
        <w:rPr>
          <w:color w:val="EE0000"/>
        </w:rPr>
        <w:t>Para los clientes instalaciones de generación para autoconsumo también se debe presentar el detalle de energía inyectada y excedente acumulado</w:t>
      </w:r>
      <w:r>
        <w:t>.</w:t>
      </w:r>
      <w:r w:rsidR="004E740A" w:rsidRPr="00F970D0">
        <w:t xml:space="preserve"> </w:t>
      </w:r>
    </w:p>
    <w:p w14:paraId="2E6E0B8C" w14:textId="77777777" w:rsidR="0081657C" w:rsidRDefault="0081657C" w:rsidP="004E740A">
      <w:pPr>
        <w:pStyle w:val="Prrafodelista"/>
        <w:numPr>
          <w:ilvl w:val="0"/>
          <w:numId w:val="29"/>
        </w:numPr>
        <w:jc w:val="both"/>
      </w:pPr>
      <w:r w:rsidRPr="00A731F2">
        <w:t>Valores de energía reactiva y factor de potencia asociado al consumo en el caso que corresponda.</w:t>
      </w:r>
    </w:p>
    <w:p w14:paraId="4EBDBD98" w14:textId="77777777" w:rsidR="0081657C" w:rsidRDefault="0081657C" w:rsidP="004E740A">
      <w:pPr>
        <w:pStyle w:val="Prrafodelista"/>
        <w:numPr>
          <w:ilvl w:val="0"/>
          <w:numId w:val="29"/>
        </w:numPr>
        <w:jc w:val="both"/>
      </w:pPr>
      <w:r w:rsidRPr="00A731F2">
        <w:t>Intereses y monto final correspondiente.</w:t>
      </w:r>
    </w:p>
    <w:p w14:paraId="601F51D9" w14:textId="77777777" w:rsidR="0081657C" w:rsidRDefault="0081657C" w:rsidP="004E740A">
      <w:pPr>
        <w:pStyle w:val="Prrafodelista"/>
        <w:numPr>
          <w:ilvl w:val="0"/>
          <w:numId w:val="29"/>
        </w:numPr>
        <w:jc w:val="both"/>
      </w:pPr>
      <w:r w:rsidRPr="00A731F2">
        <w:t>Teléfono de atención Comercial y de Emergencias.</w:t>
      </w:r>
    </w:p>
    <w:p w14:paraId="2C93E5AC" w14:textId="77777777" w:rsidR="0081657C" w:rsidRDefault="0081657C" w:rsidP="004E740A">
      <w:pPr>
        <w:pStyle w:val="Prrafodelista"/>
        <w:numPr>
          <w:ilvl w:val="0"/>
          <w:numId w:val="29"/>
        </w:numPr>
        <w:jc w:val="both"/>
      </w:pPr>
      <w:r w:rsidRPr="00A731F2">
        <w:t xml:space="preserve">Lugares de pago. </w:t>
      </w:r>
    </w:p>
    <w:p w14:paraId="40DECA48" w14:textId="77777777" w:rsidR="0081657C" w:rsidRDefault="0081657C" w:rsidP="004E740A">
      <w:pPr>
        <w:pStyle w:val="Prrafodelista"/>
        <w:numPr>
          <w:ilvl w:val="0"/>
          <w:numId w:val="29"/>
        </w:numPr>
        <w:jc w:val="both"/>
      </w:pPr>
      <w:r w:rsidRPr="00A731F2">
        <w:t xml:space="preserve">Datos de la ASEP, con un texto que indique la posibilidad de realizar denuncias ante la ASEP. </w:t>
      </w:r>
    </w:p>
    <w:p w14:paraId="3E02FAFB" w14:textId="77777777" w:rsidR="0081657C" w:rsidRDefault="0081657C" w:rsidP="004E740A">
      <w:pPr>
        <w:pStyle w:val="Prrafodelista"/>
        <w:numPr>
          <w:ilvl w:val="0"/>
          <w:numId w:val="29"/>
        </w:numPr>
        <w:jc w:val="both"/>
      </w:pPr>
      <w:r w:rsidRPr="00A731F2">
        <w:t xml:space="preserve">Tarifa aplicada. </w:t>
      </w:r>
    </w:p>
    <w:p w14:paraId="13634C53" w14:textId="77777777" w:rsidR="0081657C" w:rsidRDefault="0081657C" w:rsidP="004E740A">
      <w:pPr>
        <w:pStyle w:val="Prrafodelista"/>
        <w:numPr>
          <w:ilvl w:val="0"/>
          <w:numId w:val="29"/>
        </w:numPr>
        <w:jc w:val="both"/>
      </w:pPr>
      <w:r w:rsidRPr="00A731F2">
        <w:t xml:space="preserve">Detalle del cálculo de facturación (cargo fijo, cargo variable, subsidios, ajustes, porción correspondiente a distribución, transmisión y generación). </w:t>
      </w:r>
    </w:p>
    <w:p w14:paraId="6373B729" w14:textId="77777777" w:rsidR="0081657C" w:rsidRDefault="0081657C" w:rsidP="004E740A">
      <w:pPr>
        <w:pStyle w:val="Prrafodelista"/>
        <w:numPr>
          <w:ilvl w:val="0"/>
          <w:numId w:val="29"/>
        </w:numPr>
        <w:jc w:val="both"/>
      </w:pPr>
      <w:r w:rsidRPr="00A731F2">
        <w:t xml:space="preserve">Tipo de lectura (real/estimada). </w:t>
      </w:r>
    </w:p>
    <w:p w14:paraId="694683C6" w14:textId="77777777" w:rsidR="0081657C" w:rsidRDefault="0081657C" w:rsidP="004E740A">
      <w:pPr>
        <w:pStyle w:val="Prrafodelista"/>
        <w:numPr>
          <w:ilvl w:val="0"/>
          <w:numId w:val="29"/>
        </w:numPr>
        <w:jc w:val="both"/>
      </w:pPr>
      <w:r w:rsidRPr="00A731F2">
        <w:t>Lectura anterior y actual del medidor</w:t>
      </w:r>
      <w:r>
        <w:t>.</w:t>
      </w:r>
    </w:p>
    <w:p w14:paraId="513A21A3" w14:textId="77777777" w:rsidR="0081657C" w:rsidRDefault="0081657C" w:rsidP="004E740A">
      <w:pPr>
        <w:pStyle w:val="Prrafodelista"/>
        <w:numPr>
          <w:ilvl w:val="0"/>
          <w:numId w:val="29"/>
        </w:numPr>
        <w:jc w:val="both"/>
      </w:pPr>
      <w:r w:rsidRPr="00144A35">
        <w:t>Período de lectura y cantidad de días facturados</w:t>
      </w:r>
      <w:r>
        <w:t>.</w:t>
      </w:r>
    </w:p>
    <w:p w14:paraId="3E295AD5" w14:textId="77777777" w:rsidR="0081657C" w:rsidRDefault="0081657C" w:rsidP="004E740A">
      <w:pPr>
        <w:pStyle w:val="Prrafodelista"/>
        <w:numPr>
          <w:ilvl w:val="0"/>
          <w:numId w:val="29"/>
        </w:numPr>
        <w:jc w:val="both"/>
      </w:pPr>
      <w:r w:rsidRPr="00144A35">
        <w:t>Saldo adeudado a 30 días</w:t>
      </w:r>
      <w:r>
        <w:t>.</w:t>
      </w:r>
    </w:p>
    <w:p w14:paraId="538E7771" w14:textId="77777777" w:rsidR="0081657C" w:rsidRDefault="0081657C" w:rsidP="004E740A">
      <w:pPr>
        <w:pStyle w:val="Prrafodelista"/>
        <w:numPr>
          <w:ilvl w:val="0"/>
          <w:numId w:val="29"/>
        </w:numPr>
        <w:jc w:val="both"/>
      </w:pPr>
      <w:r w:rsidRPr="00144A35">
        <w:t>Saldo adeudado a 60 días</w:t>
      </w:r>
      <w:r>
        <w:t>.</w:t>
      </w:r>
    </w:p>
    <w:p w14:paraId="1B8910A1" w14:textId="77777777" w:rsidR="0081657C" w:rsidRDefault="0081657C" w:rsidP="004E740A">
      <w:pPr>
        <w:pStyle w:val="Prrafodelista"/>
        <w:numPr>
          <w:ilvl w:val="0"/>
          <w:numId w:val="29"/>
        </w:numPr>
        <w:jc w:val="both"/>
      </w:pPr>
      <w:r w:rsidRPr="00144A35">
        <w:lastRenderedPageBreak/>
        <w:t xml:space="preserve">Historial de consumo (kWh) y demanda leída (kW) mensual (datos) de los últimos 12 meses. </w:t>
      </w:r>
    </w:p>
    <w:p w14:paraId="744FBD83" w14:textId="77777777" w:rsidR="0081657C" w:rsidRDefault="0081657C" w:rsidP="004E740A">
      <w:pPr>
        <w:pStyle w:val="Prrafodelista"/>
        <w:numPr>
          <w:ilvl w:val="0"/>
          <w:numId w:val="29"/>
        </w:numPr>
        <w:jc w:val="both"/>
      </w:pPr>
      <w:r w:rsidRPr="00144A35">
        <w:t>Cargos por conexión y reconexión por motivos de suspensión del servicio</w:t>
      </w:r>
      <w:r>
        <w:t>.</w:t>
      </w:r>
    </w:p>
    <w:p w14:paraId="3226404E" w14:textId="77777777" w:rsidR="0081657C" w:rsidRDefault="0081657C" w:rsidP="004E740A">
      <w:pPr>
        <w:pStyle w:val="Prrafodelista"/>
        <w:numPr>
          <w:ilvl w:val="0"/>
          <w:numId w:val="29"/>
        </w:numPr>
        <w:jc w:val="both"/>
      </w:pPr>
      <w:r w:rsidRPr="00144A35">
        <w:t xml:space="preserve">Reducciones Tarifarias. </w:t>
      </w:r>
    </w:p>
    <w:p w14:paraId="007DB19A" w14:textId="77777777" w:rsidR="0081657C" w:rsidRDefault="0081657C" w:rsidP="004E740A">
      <w:pPr>
        <w:pStyle w:val="Prrafodelista"/>
        <w:numPr>
          <w:ilvl w:val="0"/>
          <w:numId w:val="29"/>
        </w:numPr>
        <w:jc w:val="both"/>
      </w:pPr>
      <w:r w:rsidRPr="00144A35">
        <w:t xml:space="preserve">Estadísticas de interrupciones del servicio eléctrico para cada cliente de que fue objeto en el período de facturación anterior. </w:t>
      </w:r>
    </w:p>
    <w:p w14:paraId="71131C70" w14:textId="77777777" w:rsidR="0081657C" w:rsidRDefault="0081657C" w:rsidP="004E740A">
      <w:pPr>
        <w:pStyle w:val="Prrafodelista"/>
        <w:numPr>
          <w:ilvl w:val="0"/>
          <w:numId w:val="29"/>
        </w:numPr>
        <w:jc w:val="both"/>
      </w:pPr>
      <w:r w:rsidRPr="00144A35">
        <w:t xml:space="preserve">Fecha y hora de la demanda máxima del período de facturación en los casos en que el medidor pueda suministrar esta información. </w:t>
      </w:r>
    </w:p>
    <w:p w14:paraId="131EE10C" w14:textId="4A58A4A7" w:rsidR="0081657C" w:rsidRDefault="0081657C" w:rsidP="004E740A">
      <w:pPr>
        <w:pStyle w:val="Prrafodelista"/>
        <w:numPr>
          <w:ilvl w:val="0"/>
          <w:numId w:val="29"/>
        </w:numPr>
        <w:jc w:val="both"/>
      </w:pPr>
      <w:r w:rsidRPr="00144A35">
        <w:t>Detalles del depósito de garantía</w:t>
      </w:r>
      <w:r>
        <w:t>.</w:t>
      </w:r>
    </w:p>
    <w:p w14:paraId="7342D8A9" w14:textId="77777777" w:rsidR="0028797E" w:rsidRDefault="0081657C" w:rsidP="0028797E">
      <w:pPr>
        <w:pStyle w:val="Prrafodelista"/>
        <w:numPr>
          <w:ilvl w:val="0"/>
          <w:numId w:val="29"/>
        </w:numPr>
        <w:jc w:val="both"/>
      </w:pPr>
      <w:r w:rsidRPr="00144A35">
        <w:t xml:space="preserve">Fecha de vencimiento de la factura </w:t>
      </w:r>
    </w:p>
    <w:p w14:paraId="23E59F96" w14:textId="55D713D8" w:rsidR="0081657C" w:rsidRDefault="0081657C" w:rsidP="0028797E">
      <w:pPr>
        <w:pStyle w:val="Prrafodelista"/>
        <w:numPr>
          <w:ilvl w:val="0"/>
          <w:numId w:val="29"/>
        </w:numPr>
        <w:jc w:val="both"/>
      </w:pPr>
      <w:r w:rsidRPr="00144A35">
        <w:t>Historial de pago de los últimos tres meses (fecha y monto pagado).</w:t>
      </w:r>
    </w:p>
    <w:p w14:paraId="691EB299" w14:textId="77777777" w:rsidR="00A731F2" w:rsidRDefault="00A731F2" w:rsidP="00A731F2">
      <w:pPr>
        <w:jc w:val="both"/>
        <w:rPr>
          <w:szCs w:val="24"/>
        </w:rPr>
      </w:pPr>
    </w:p>
    <w:p w14:paraId="28CD6F05" w14:textId="7014185E" w:rsidR="00641A89" w:rsidRPr="00F1164D" w:rsidRDefault="00641A89" w:rsidP="00697DE6">
      <w:pPr>
        <w:pStyle w:val="Prrafodelista"/>
        <w:numPr>
          <w:ilvl w:val="0"/>
          <w:numId w:val="16"/>
        </w:numPr>
        <w:jc w:val="both"/>
        <w:rPr>
          <w:b/>
          <w:color w:val="4472C4" w:themeColor="accent1"/>
          <w:szCs w:val="24"/>
        </w:rPr>
      </w:pPr>
      <w:r w:rsidRPr="00F1164D">
        <w:rPr>
          <w:b/>
          <w:color w:val="4472C4" w:themeColor="accent1"/>
          <w:szCs w:val="24"/>
        </w:rPr>
        <w:t>Donde dice</w:t>
      </w:r>
    </w:p>
    <w:p w14:paraId="4D343B12" w14:textId="18BBD13C" w:rsidR="7F699A30" w:rsidRDefault="06162D8E" w:rsidP="5B577446">
      <w:pPr>
        <w:jc w:val="both"/>
        <w:rPr>
          <w:rFonts w:eastAsia="Times New Roman"/>
          <w:szCs w:val="24"/>
        </w:rPr>
      </w:pPr>
      <w:r w:rsidRPr="00E80555">
        <w:rPr>
          <w:b/>
          <w:bCs/>
          <w:szCs w:val="24"/>
        </w:rPr>
        <w:t>Artículo 41</w:t>
      </w:r>
      <w:r w:rsidRPr="00E80555">
        <w:rPr>
          <w:szCs w:val="24"/>
        </w:rPr>
        <w:t xml:space="preserve"> </w:t>
      </w:r>
      <w:r w:rsidR="648C65AC" w:rsidRPr="00E80555">
        <w:rPr>
          <w:rFonts w:eastAsia="Times New Roman"/>
          <w:szCs w:val="24"/>
        </w:rPr>
        <w:t>En caso de que la distribuidora haya estimado el consumo del mes, deberá indicarlo en la factura al cliente. Sólo se admitirán, la cantidad de facturas estimadas establecidas en la norma de calidad comercial aprobada por la Autoridad. De no haber lectura del medidor del cliente por más de seis (6) meses, la empresa cuando realice la lectura en caso de que haya estimado de más deberá devolver la diferencia al cliente en la siguiente facturación y en caso de que haya estimado de menos no podrá recuperar la diferencia entre la lectura estimada y la real.</w:t>
      </w:r>
    </w:p>
    <w:p w14:paraId="6CC95B22" w14:textId="3F7DAB34" w:rsidR="00FE15B7" w:rsidRPr="00E80555" w:rsidRDefault="00FE15B7" w:rsidP="5B577446">
      <w:pPr>
        <w:jc w:val="both"/>
        <w:rPr>
          <w:szCs w:val="24"/>
        </w:rPr>
      </w:pPr>
      <w:r w:rsidRPr="00FE15B7">
        <w:rPr>
          <w:szCs w:val="24"/>
        </w:rPr>
        <w:t>La empresa distribuidora sólo podrá realizar estimaciones en el caso de clientes que cuenten con medición inteligente en aquellos casos donde se demuestre que no se pueda obtener la medición por causas de caso fortuito o fuerza mayor.</w:t>
      </w:r>
    </w:p>
    <w:p w14:paraId="67792F18" w14:textId="27D1A8E6" w:rsidR="7F699A30" w:rsidRPr="00E80555" w:rsidRDefault="6EA60814" w:rsidP="02E485F2">
      <w:pPr>
        <w:jc w:val="both"/>
        <w:rPr>
          <w:b/>
          <w:bCs/>
          <w:szCs w:val="24"/>
          <w:u w:val="single"/>
        </w:rPr>
      </w:pPr>
      <w:r w:rsidRPr="00E80555">
        <w:rPr>
          <w:b/>
          <w:bCs/>
          <w:szCs w:val="24"/>
          <w:u w:val="single"/>
        </w:rPr>
        <w:t>Debe decir</w:t>
      </w:r>
    </w:p>
    <w:p w14:paraId="452BC25E" w14:textId="00712678" w:rsidR="7F699A30" w:rsidRPr="00E80555" w:rsidRDefault="07744504" w:rsidP="02E485F2">
      <w:pPr>
        <w:jc w:val="both"/>
        <w:rPr>
          <w:rFonts w:eastAsia="Times New Roman"/>
          <w:b/>
          <w:bCs/>
          <w:szCs w:val="24"/>
        </w:rPr>
      </w:pPr>
      <w:r w:rsidRPr="21800E40">
        <w:rPr>
          <w:b/>
          <w:bCs/>
          <w:szCs w:val="24"/>
        </w:rPr>
        <w:t>Artículo 41</w:t>
      </w:r>
      <w:r w:rsidRPr="21800E40">
        <w:rPr>
          <w:rFonts w:eastAsia="Times New Roman"/>
          <w:szCs w:val="24"/>
        </w:rPr>
        <w:t xml:space="preserve">    </w:t>
      </w:r>
    </w:p>
    <w:p w14:paraId="3DBDE6BA" w14:textId="436C08F6" w:rsidR="7F699A30" w:rsidRDefault="00900CE6" w:rsidP="3F1F13E6">
      <w:pPr>
        <w:jc w:val="both"/>
        <w:rPr>
          <w:rFonts w:eastAsia="Times New Roman"/>
        </w:rPr>
      </w:pPr>
      <w:r w:rsidRPr="00AA0891">
        <w:rPr>
          <w:lang w:val="es-MX"/>
        </w:rPr>
        <w:t>En caso de que la distribuidora haya</w:t>
      </w:r>
      <w:r w:rsidR="07744504" w:rsidRPr="3F1F13E6">
        <w:rPr>
          <w:rFonts w:eastAsia="Times New Roman"/>
          <w:color w:val="FF0000"/>
        </w:rPr>
        <w:t xml:space="preserve"> </w:t>
      </w:r>
      <w:r w:rsidR="730555B9" w:rsidRPr="3F1F13E6">
        <w:rPr>
          <w:rFonts w:eastAsia="Times New Roman"/>
        </w:rPr>
        <w:t xml:space="preserve">estimado el consumo del mes, deberá indicarlo en la factura al cliente. Sólo se admitirán, la cantidad de facturas estimadas establecidas en la norma de calidad comercial aprobada por la Autoridad. De no haber lectura del medidor del cliente por más de </w:t>
      </w:r>
      <w:r w:rsidR="50A2DED5" w:rsidRPr="00D5242A">
        <w:rPr>
          <w:rFonts w:eastAsia="Times New Roman"/>
          <w:color w:val="C00000"/>
        </w:rPr>
        <w:t xml:space="preserve">tres </w:t>
      </w:r>
      <w:r w:rsidR="730555B9" w:rsidRPr="00D5242A">
        <w:rPr>
          <w:rFonts w:eastAsia="Times New Roman"/>
          <w:color w:val="C00000"/>
        </w:rPr>
        <w:t>(</w:t>
      </w:r>
      <w:r w:rsidR="50A2DED5" w:rsidRPr="00D5242A">
        <w:rPr>
          <w:rFonts w:eastAsia="Times New Roman"/>
          <w:color w:val="C00000"/>
        </w:rPr>
        <w:t>3</w:t>
      </w:r>
      <w:r w:rsidR="730555B9" w:rsidRPr="00D5242A">
        <w:rPr>
          <w:rFonts w:eastAsia="Times New Roman"/>
          <w:color w:val="C00000"/>
        </w:rPr>
        <w:t xml:space="preserve">) </w:t>
      </w:r>
      <w:r w:rsidR="730555B9" w:rsidRPr="3F1F13E6">
        <w:rPr>
          <w:rFonts w:eastAsia="Times New Roman"/>
        </w:rPr>
        <w:t>meses, la empresa cuando realice la lectura en caso de que haya estimado de más deberá devolver la diferencia al cliente en la siguiente facturación y en caso de que haya estimado de menos no podrá recuperar la diferencia entre la lectura estimada y la real.</w:t>
      </w:r>
    </w:p>
    <w:p w14:paraId="6FBCE5D8" w14:textId="7B345E15" w:rsidR="00742952" w:rsidRDefault="00742952" w:rsidP="02E485F2">
      <w:pPr>
        <w:jc w:val="both"/>
        <w:rPr>
          <w:rFonts w:eastAsia="Times New Roman"/>
          <w:szCs w:val="24"/>
        </w:rPr>
      </w:pPr>
      <w:r w:rsidRPr="00742952">
        <w:rPr>
          <w:rFonts w:eastAsia="Times New Roman"/>
          <w:szCs w:val="24"/>
        </w:rPr>
        <w:t xml:space="preserve">La empresa distribuidora sólo podrá realizar estimaciones en el caso de clientes que cuenten con medición inteligente en aquellos casos donde se demuestre que no se </w:t>
      </w:r>
      <w:r w:rsidR="009B6E70" w:rsidRPr="00742952">
        <w:rPr>
          <w:rFonts w:eastAsia="Times New Roman"/>
          <w:szCs w:val="24"/>
        </w:rPr>
        <w:t>pud</w:t>
      </w:r>
      <w:r w:rsidR="009B6E70">
        <w:rPr>
          <w:rFonts w:eastAsia="Times New Roman"/>
          <w:szCs w:val="24"/>
        </w:rPr>
        <w:t>o</w:t>
      </w:r>
      <w:r w:rsidR="009B6E70" w:rsidRPr="00742952">
        <w:rPr>
          <w:rFonts w:eastAsia="Times New Roman"/>
          <w:szCs w:val="24"/>
        </w:rPr>
        <w:t xml:space="preserve"> </w:t>
      </w:r>
      <w:r w:rsidRPr="00742952">
        <w:rPr>
          <w:rFonts w:eastAsia="Times New Roman"/>
          <w:szCs w:val="24"/>
        </w:rPr>
        <w:t>obtener la medición por causas de caso fortuito o fuerza mayor.</w:t>
      </w:r>
    </w:p>
    <w:p w14:paraId="325DB202" w14:textId="5AC75640" w:rsidR="009B6E70" w:rsidRPr="00BD2433" w:rsidRDefault="009B6E70" w:rsidP="000B4BE1">
      <w:pPr>
        <w:jc w:val="both"/>
        <w:rPr>
          <w:color w:val="EE0000"/>
          <w:lang w:val="es-MX"/>
        </w:rPr>
      </w:pPr>
      <w:r w:rsidRPr="00BD2433">
        <w:rPr>
          <w:color w:val="EE0000"/>
          <w:lang w:val="es-MX"/>
        </w:rPr>
        <w:t xml:space="preserve">Las estimaciones realizadas y los ajustes, si corresponden, deberán ser informadas por la empresa a la ASEP de forma </w:t>
      </w:r>
      <w:r w:rsidR="00684207" w:rsidRPr="00BD2433">
        <w:rPr>
          <w:color w:val="EE0000"/>
          <w:lang w:val="es-MX"/>
        </w:rPr>
        <w:t>tri</w:t>
      </w:r>
      <w:r w:rsidRPr="00BD2433">
        <w:rPr>
          <w:color w:val="EE0000"/>
          <w:lang w:val="es-MX"/>
        </w:rPr>
        <w:t>mes</w:t>
      </w:r>
      <w:r w:rsidR="00BD2433" w:rsidRPr="00BD2433">
        <w:rPr>
          <w:color w:val="EE0000"/>
          <w:lang w:val="es-MX"/>
        </w:rPr>
        <w:t>tr</w:t>
      </w:r>
      <w:r w:rsidRPr="00BD2433">
        <w:rPr>
          <w:color w:val="EE0000"/>
          <w:lang w:val="es-MX"/>
        </w:rPr>
        <w:t>al.</w:t>
      </w:r>
    </w:p>
    <w:p w14:paraId="1E3D3D70" w14:textId="2624FA78" w:rsidR="00331F96" w:rsidRPr="00176281" w:rsidRDefault="00331F96" w:rsidP="005C6B3C">
      <w:pPr>
        <w:pStyle w:val="Ttulo1"/>
        <w:numPr>
          <w:ilvl w:val="0"/>
          <w:numId w:val="16"/>
        </w:numPr>
        <w:spacing w:after="240"/>
        <w:rPr>
          <w:rFonts w:cs="Times New Roman"/>
          <w:b w:val="0"/>
          <w:color w:val="4472C4" w:themeColor="accent1"/>
          <w:szCs w:val="24"/>
        </w:rPr>
      </w:pPr>
      <w:r w:rsidRPr="00176281">
        <w:rPr>
          <w:rFonts w:cs="Times New Roman"/>
          <w:color w:val="4472C4" w:themeColor="accent1"/>
          <w:szCs w:val="24"/>
        </w:rPr>
        <w:lastRenderedPageBreak/>
        <w:t>Donde dice</w:t>
      </w:r>
    </w:p>
    <w:p w14:paraId="04790380" w14:textId="0F5C8CB0" w:rsidR="00843921" w:rsidRDefault="00AE0406" w:rsidP="5B577446">
      <w:pPr>
        <w:jc w:val="both"/>
        <w:rPr>
          <w:rFonts w:eastAsia="Times New Roman"/>
          <w:szCs w:val="24"/>
        </w:rPr>
      </w:pPr>
      <w:r w:rsidRPr="00946A11">
        <w:rPr>
          <w:rFonts w:eastAsia="Times New Roman"/>
          <w:b/>
          <w:bCs/>
          <w:szCs w:val="24"/>
        </w:rPr>
        <w:t>Artículo 43</w:t>
      </w:r>
      <w:r w:rsidRPr="00AE0406">
        <w:rPr>
          <w:rFonts w:eastAsia="Times New Roman"/>
          <w:szCs w:val="24"/>
        </w:rPr>
        <w:t xml:space="preserve"> La empresa distribuidora deberá realizar una investigación en aquellos casos de lecturas del medidor que resultan con consumos superiores al 100% del consumo promedio de los últimos seis (6) meses del cliente, a efectos de corregirlo si la conclusión de la investigación así lo amerita.</w:t>
      </w:r>
    </w:p>
    <w:p w14:paraId="0824AF74" w14:textId="3E0ED7DB" w:rsidR="003B0AA0" w:rsidRDefault="00AE0406" w:rsidP="003B0AA0">
      <w:pPr>
        <w:jc w:val="both"/>
        <w:rPr>
          <w:b/>
          <w:bCs/>
          <w:szCs w:val="24"/>
          <w:u w:val="single"/>
        </w:rPr>
      </w:pPr>
      <w:r w:rsidRPr="00946A11">
        <w:rPr>
          <w:rFonts w:eastAsia="Times New Roman"/>
          <w:b/>
          <w:bCs/>
          <w:szCs w:val="24"/>
          <w:u w:val="single"/>
        </w:rPr>
        <w:t>Debe decir</w:t>
      </w:r>
      <w:r w:rsidR="003B0AA0">
        <w:rPr>
          <w:rFonts w:eastAsia="Times New Roman"/>
          <w:b/>
          <w:bCs/>
          <w:szCs w:val="24"/>
          <w:u w:val="single"/>
        </w:rPr>
        <w:t xml:space="preserve"> </w:t>
      </w:r>
    </w:p>
    <w:p w14:paraId="6EC502A3" w14:textId="4E78D204" w:rsidR="00521592" w:rsidRPr="004D5F62" w:rsidRDefault="00BE1A09" w:rsidP="00BE1A09">
      <w:pPr>
        <w:jc w:val="both"/>
        <w:rPr>
          <w:rFonts w:eastAsia="Times New Roman"/>
          <w:color w:val="EE0000"/>
          <w:szCs w:val="24"/>
        </w:rPr>
      </w:pPr>
      <w:bookmarkStart w:id="2" w:name="_Hlk216876610"/>
      <w:r w:rsidRPr="00946A11">
        <w:rPr>
          <w:rFonts w:eastAsia="Times New Roman"/>
          <w:b/>
          <w:bCs/>
          <w:szCs w:val="24"/>
        </w:rPr>
        <w:t>Artículo 43</w:t>
      </w:r>
      <w:r w:rsidRPr="004D5F62">
        <w:rPr>
          <w:rFonts w:eastAsia="Times New Roman"/>
          <w:color w:val="EE0000"/>
          <w:szCs w:val="24"/>
        </w:rPr>
        <w:t xml:space="preserve"> </w:t>
      </w:r>
      <w:r w:rsidRPr="00723896">
        <w:rPr>
          <w:rFonts w:eastAsia="Times New Roman"/>
          <w:szCs w:val="24"/>
        </w:rPr>
        <w:t>La empresa distribuidora</w:t>
      </w:r>
      <w:r w:rsidR="0083256D" w:rsidRPr="00723896">
        <w:rPr>
          <w:rFonts w:eastAsia="Times New Roman"/>
          <w:szCs w:val="24"/>
        </w:rPr>
        <w:t xml:space="preserve"> </w:t>
      </w:r>
      <w:r w:rsidRPr="00723896">
        <w:rPr>
          <w:rFonts w:eastAsia="Times New Roman"/>
          <w:szCs w:val="24"/>
        </w:rPr>
        <w:t>deberá realizar</w:t>
      </w:r>
      <w:r w:rsidR="00C53E23" w:rsidRPr="00723896">
        <w:rPr>
          <w:rFonts w:eastAsia="Times New Roman"/>
          <w:szCs w:val="24"/>
        </w:rPr>
        <w:t xml:space="preserve"> </w:t>
      </w:r>
      <w:r w:rsidRPr="00723896">
        <w:rPr>
          <w:rFonts w:eastAsia="Times New Roman"/>
          <w:szCs w:val="24"/>
        </w:rPr>
        <w:t xml:space="preserve">una investigación </w:t>
      </w:r>
      <w:r w:rsidR="00BF160B">
        <w:rPr>
          <w:rFonts w:eastAsia="Times New Roman"/>
          <w:color w:val="EE0000"/>
          <w:szCs w:val="24"/>
        </w:rPr>
        <w:t>cuando la</w:t>
      </w:r>
      <w:r w:rsidRPr="004D5F62">
        <w:rPr>
          <w:rFonts w:eastAsia="Times New Roman"/>
          <w:color w:val="EE0000"/>
          <w:szCs w:val="24"/>
        </w:rPr>
        <w:t xml:space="preserve"> </w:t>
      </w:r>
      <w:r w:rsidRPr="001F6E59">
        <w:rPr>
          <w:rFonts w:eastAsia="Times New Roman"/>
          <w:szCs w:val="24"/>
        </w:rPr>
        <w:t>lectura del medidor</w:t>
      </w:r>
      <w:r w:rsidRPr="004D5F62">
        <w:rPr>
          <w:rFonts w:eastAsia="Times New Roman"/>
          <w:color w:val="EE0000"/>
          <w:szCs w:val="24"/>
        </w:rPr>
        <w:t xml:space="preserve"> </w:t>
      </w:r>
      <w:r w:rsidR="00C23549">
        <w:rPr>
          <w:rFonts w:eastAsia="Times New Roman"/>
          <w:color w:val="EE0000"/>
          <w:szCs w:val="24"/>
        </w:rPr>
        <w:t xml:space="preserve">del cliente </w:t>
      </w:r>
      <w:r w:rsidR="00BF160B">
        <w:rPr>
          <w:rFonts w:eastAsia="Times New Roman"/>
          <w:color w:val="EE0000"/>
          <w:szCs w:val="24"/>
        </w:rPr>
        <w:t>muestre</w:t>
      </w:r>
      <w:r w:rsidR="00521592" w:rsidRPr="004D5F62">
        <w:rPr>
          <w:rFonts w:eastAsia="Times New Roman"/>
          <w:color w:val="EE0000"/>
          <w:szCs w:val="24"/>
        </w:rPr>
        <w:t xml:space="preserve"> un</w:t>
      </w:r>
      <w:r w:rsidRPr="004D5F62">
        <w:rPr>
          <w:rFonts w:eastAsia="Times New Roman"/>
          <w:color w:val="EE0000"/>
          <w:szCs w:val="24"/>
        </w:rPr>
        <w:t xml:space="preserve"> </w:t>
      </w:r>
      <w:r w:rsidRPr="001F6E59">
        <w:rPr>
          <w:rFonts w:eastAsia="Times New Roman"/>
          <w:szCs w:val="24"/>
        </w:rPr>
        <w:t xml:space="preserve">consumo superior </w:t>
      </w:r>
      <w:r w:rsidRPr="00EB4BDE">
        <w:rPr>
          <w:rFonts w:eastAsia="Times New Roman"/>
          <w:szCs w:val="24"/>
        </w:rPr>
        <w:t>al</w:t>
      </w:r>
      <w:r w:rsidR="00EB4BDE" w:rsidRPr="00EB4BDE">
        <w:rPr>
          <w:rFonts w:eastAsia="Times New Roman"/>
          <w:szCs w:val="24"/>
        </w:rPr>
        <w:t xml:space="preserve"> 100% del</w:t>
      </w:r>
      <w:r w:rsidRPr="00EB4BDE">
        <w:rPr>
          <w:rFonts w:eastAsia="Times New Roman"/>
          <w:szCs w:val="24"/>
        </w:rPr>
        <w:t xml:space="preserve"> consumo promedio</w:t>
      </w:r>
      <w:r w:rsidR="00C53E23" w:rsidRPr="00EB4BDE">
        <w:rPr>
          <w:rFonts w:eastAsia="Times New Roman"/>
          <w:szCs w:val="24"/>
        </w:rPr>
        <w:t xml:space="preserve"> </w:t>
      </w:r>
      <w:r w:rsidR="007831C3" w:rsidRPr="00EB4BDE">
        <w:rPr>
          <w:rFonts w:eastAsia="Times New Roman"/>
          <w:szCs w:val="24"/>
        </w:rPr>
        <w:t>de</w:t>
      </w:r>
      <w:r w:rsidR="00521592" w:rsidRPr="00EB4BDE">
        <w:rPr>
          <w:rFonts w:eastAsia="Times New Roman"/>
          <w:szCs w:val="24"/>
        </w:rPr>
        <w:t xml:space="preserve"> los</w:t>
      </w:r>
      <w:r w:rsidR="007831C3" w:rsidRPr="00EB4BDE">
        <w:rPr>
          <w:rFonts w:eastAsia="Times New Roman"/>
          <w:szCs w:val="24"/>
        </w:rPr>
        <w:t xml:space="preserve"> últimos</w:t>
      </w:r>
      <w:r w:rsidR="00521592" w:rsidRPr="00EB4BDE">
        <w:rPr>
          <w:rFonts w:eastAsia="Times New Roman"/>
          <w:szCs w:val="24"/>
        </w:rPr>
        <w:t xml:space="preserve"> </w:t>
      </w:r>
      <w:r w:rsidRPr="00EB4BDE">
        <w:rPr>
          <w:rFonts w:eastAsia="Times New Roman"/>
          <w:szCs w:val="24"/>
        </w:rPr>
        <w:t>seis (6) meses</w:t>
      </w:r>
      <w:r w:rsidR="00C53E23" w:rsidRPr="004D5F62">
        <w:rPr>
          <w:rFonts w:eastAsia="Times New Roman"/>
          <w:color w:val="EE0000"/>
          <w:szCs w:val="24"/>
        </w:rPr>
        <w:t>, exista o no reclamo por parte d</w:t>
      </w:r>
      <w:r w:rsidR="00521592" w:rsidRPr="004D5F62">
        <w:rPr>
          <w:rFonts w:eastAsia="Times New Roman"/>
          <w:color w:val="EE0000"/>
          <w:szCs w:val="24"/>
        </w:rPr>
        <w:t xml:space="preserve">e </w:t>
      </w:r>
      <w:r w:rsidR="00E812C1">
        <w:rPr>
          <w:rFonts w:eastAsia="Times New Roman"/>
          <w:color w:val="EE0000"/>
          <w:szCs w:val="24"/>
        </w:rPr>
        <w:t>é</w:t>
      </w:r>
      <w:r w:rsidR="00521592" w:rsidRPr="004D5F62">
        <w:rPr>
          <w:rFonts w:eastAsia="Times New Roman"/>
          <w:color w:val="EE0000"/>
          <w:szCs w:val="24"/>
        </w:rPr>
        <w:t>ste</w:t>
      </w:r>
      <w:r w:rsidRPr="004D5F62">
        <w:rPr>
          <w:rFonts w:eastAsia="Times New Roman"/>
          <w:color w:val="EE0000"/>
          <w:szCs w:val="24"/>
        </w:rPr>
        <w:t xml:space="preserve">, </w:t>
      </w:r>
      <w:r w:rsidR="00521592" w:rsidRPr="004D5F62">
        <w:rPr>
          <w:rFonts w:eastAsia="Times New Roman"/>
          <w:color w:val="EE0000"/>
          <w:szCs w:val="24"/>
        </w:rPr>
        <w:t xml:space="preserve">a fin de </w:t>
      </w:r>
      <w:r w:rsidR="00CA0413">
        <w:rPr>
          <w:rFonts w:eastAsia="Times New Roman"/>
          <w:color w:val="EE0000"/>
          <w:szCs w:val="24"/>
        </w:rPr>
        <w:t>verificar</w:t>
      </w:r>
      <w:r w:rsidR="00521592" w:rsidRPr="004D5F62">
        <w:rPr>
          <w:rFonts w:eastAsia="Times New Roman"/>
          <w:color w:val="EE0000"/>
          <w:szCs w:val="24"/>
        </w:rPr>
        <w:t xml:space="preserve"> la </w:t>
      </w:r>
      <w:r w:rsidR="00CA0413">
        <w:rPr>
          <w:rFonts w:eastAsia="Times New Roman"/>
          <w:color w:val="EE0000"/>
          <w:szCs w:val="24"/>
        </w:rPr>
        <w:t>correcta medición y facturación del servicio</w:t>
      </w:r>
      <w:r w:rsidR="00521592" w:rsidRPr="004D5F62">
        <w:rPr>
          <w:rFonts w:eastAsia="Times New Roman"/>
          <w:color w:val="EE0000"/>
          <w:szCs w:val="24"/>
        </w:rPr>
        <w:t xml:space="preserve">. </w:t>
      </w:r>
    </w:p>
    <w:p w14:paraId="18AEB547" w14:textId="17E66094" w:rsidR="00B735FA" w:rsidRPr="00B735FA" w:rsidRDefault="001629A1" w:rsidP="00B735FA">
      <w:pPr>
        <w:jc w:val="both"/>
        <w:rPr>
          <w:rFonts w:eastAsia="Times New Roman"/>
          <w:color w:val="EE0000"/>
          <w:szCs w:val="24"/>
        </w:rPr>
      </w:pPr>
      <w:r>
        <w:rPr>
          <w:rFonts w:eastAsia="Times New Roman"/>
          <w:color w:val="EE0000"/>
          <w:szCs w:val="24"/>
        </w:rPr>
        <w:t>Si como</w:t>
      </w:r>
      <w:r w:rsidR="00B735FA" w:rsidRPr="00B735FA">
        <w:rPr>
          <w:rFonts w:eastAsia="Times New Roman"/>
          <w:color w:val="EE0000"/>
          <w:szCs w:val="24"/>
        </w:rPr>
        <w:t xml:space="preserve"> resultado de la investigación se determin</w:t>
      </w:r>
      <w:r>
        <w:rPr>
          <w:rFonts w:eastAsia="Times New Roman"/>
          <w:color w:val="EE0000"/>
          <w:szCs w:val="24"/>
        </w:rPr>
        <w:t>an errores de medición o facturación</w:t>
      </w:r>
      <w:r w:rsidR="005C27D8">
        <w:rPr>
          <w:rFonts w:eastAsia="Times New Roman"/>
          <w:color w:val="EE0000"/>
          <w:szCs w:val="24"/>
        </w:rPr>
        <w:t xml:space="preserve">, </w:t>
      </w:r>
      <w:r w:rsidR="00B735FA" w:rsidRPr="00723896">
        <w:rPr>
          <w:rFonts w:eastAsia="Times New Roman"/>
          <w:color w:val="EE0000"/>
          <w:szCs w:val="24"/>
        </w:rPr>
        <w:t>la empresa distribuidora</w:t>
      </w:r>
      <w:r w:rsidR="00B735FA" w:rsidRPr="00B735FA">
        <w:rPr>
          <w:rFonts w:eastAsia="Times New Roman"/>
          <w:color w:val="EE0000"/>
          <w:szCs w:val="24"/>
        </w:rPr>
        <w:t xml:space="preserve"> </w:t>
      </w:r>
      <w:r w:rsidR="00B735FA" w:rsidRPr="00723896">
        <w:rPr>
          <w:rFonts w:eastAsia="Times New Roman"/>
          <w:color w:val="EE0000"/>
          <w:szCs w:val="24"/>
        </w:rPr>
        <w:t xml:space="preserve">deberá </w:t>
      </w:r>
      <w:r w:rsidR="005C27D8">
        <w:rPr>
          <w:rFonts w:eastAsia="Times New Roman"/>
          <w:color w:val="EE0000"/>
          <w:szCs w:val="24"/>
        </w:rPr>
        <w:t>realizar los</w:t>
      </w:r>
      <w:r w:rsidR="00B735FA" w:rsidRPr="00723896">
        <w:rPr>
          <w:rFonts w:eastAsia="Times New Roman"/>
          <w:color w:val="EE0000"/>
          <w:szCs w:val="24"/>
        </w:rPr>
        <w:t xml:space="preserve"> ajustes correspond</w:t>
      </w:r>
      <w:r w:rsidR="005C27D8">
        <w:rPr>
          <w:rFonts w:eastAsia="Times New Roman"/>
          <w:color w:val="EE0000"/>
          <w:szCs w:val="24"/>
        </w:rPr>
        <w:t>iente</w:t>
      </w:r>
      <w:r w:rsidR="00504BC5">
        <w:rPr>
          <w:rFonts w:eastAsia="Times New Roman"/>
          <w:color w:val="EE0000"/>
          <w:szCs w:val="24"/>
        </w:rPr>
        <w:t>s</w:t>
      </w:r>
      <w:r w:rsidR="005C27D8">
        <w:rPr>
          <w:rFonts w:eastAsia="Times New Roman"/>
          <w:color w:val="EE0000"/>
          <w:szCs w:val="24"/>
        </w:rPr>
        <w:t xml:space="preserve"> en la factura del cliente</w:t>
      </w:r>
      <w:r w:rsidR="00A52F05">
        <w:rPr>
          <w:rFonts w:eastAsia="Times New Roman"/>
          <w:color w:val="EE0000"/>
          <w:szCs w:val="24"/>
        </w:rPr>
        <w:t>, adoptando las acciones que correspondan e informar al cliente sobre los ajustes</w:t>
      </w:r>
      <w:r w:rsidR="00B735FA" w:rsidRPr="00B735FA">
        <w:rPr>
          <w:rFonts w:eastAsia="Times New Roman"/>
          <w:color w:val="EE0000"/>
          <w:szCs w:val="24"/>
        </w:rPr>
        <w:t>.</w:t>
      </w:r>
    </w:p>
    <w:p w14:paraId="52A1D138" w14:textId="64FEA48C" w:rsidR="00B735FA" w:rsidRPr="00B735FA" w:rsidRDefault="00B735FA" w:rsidP="00B735FA">
      <w:pPr>
        <w:jc w:val="both"/>
        <w:rPr>
          <w:rFonts w:eastAsia="Times New Roman"/>
          <w:color w:val="EE0000"/>
          <w:szCs w:val="24"/>
        </w:rPr>
      </w:pPr>
      <w:r w:rsidRPr="00B735FA">
        <w:rPr>
          <w:rFonts w:eastAsia="Times New Roman"/>
          <w:color w:val="EE0000"/>
          <w:szCs w:val="24"/>
        </w:rPr>
        <w:t xml:space="preserve">Asimismo, la empresa distribuidora deberá remitir a la Autoridad Nacional de los Servicios Públicos (ASEP) un </w:t>
      </w:r>
      <w:r w:rsidRPr="00723896">
        <w:rPr>
          <w:rFonts w:eastAsia="Times New Roman"/>
          <w:color w:val="EE0000"/>
          <w:szCs w:val="24"/>
        </w:rPr>
        <w:t xml:space="preserve">informe </w:t>
      </w:r>
      <w:r w:rsidR="009243BD">
        <w:rPr>
          <w:rFonts w:eastAsia="Times New Roman"/>
          <w:color w:val="EE0000"/>
          <w:szCs w:val="24"/>
        </w:rPr>
        <w:t xml:space="preserve">con periodicidad </w:t>
      </w:r>
      <w:r w:rsidRPr="00723896">
        <w:rPr>
          <w:rFonts w:eastAsia="Times New Roman"/>
          <w:color w:val="EE0000"/>
          <w:szCs w:val="24"/>
        </w:rPr>
        <w:t>semestral</w:t>
      </w:r>
      <w:r w:rsidR="009243BD">
        <w:rPr>
          <w:rFonts w:eastAsia="Times New Roman"/>
          <w:color w:val="EE0000"/>
          <w:szCs w:val="24"/>
        </w:rPr>
        <w:t>,</w:t>
      </w:r>
      <w:r w:rsidRPr="00B735FA">
        <w:rPr>
          <w:rFonts w:eastAsia="Times New Roman"/>
          <w:color w:val="EE0000"/>
          <w:szCs w:val="24"/>
        </w:rPr>
        <w:t xml:space="preserve"> que contenga el </w:t>
      </w:r>
      <w:r w:rsidR="00FB5893">
        <w:rPr>
          <w:rFonts w:eastAsia="Times New Roman"/>
          <w:color w:val="EE0000"/>
          <w:szCs w:val="24"/>
        </w:rPr>
        <w:t>número</w:t>
      </w:r>
      <w:r w:rsidRPr="00B735FA">
        <w:rPr>
          <w:rFonts w:eastAsia="Times New Roman"/>
          <w:color w:val="EE0000"/>
          <w:szCs w:val="24"/>
        </w:rPr>
        <w:t xml:space="preserve"> </w:t>
      </w:r>
      <w:r w:rsidR="004D3A3A">
        <w:rPr>
          <w:rFonts w:eastAsia="Times New Roman"/>
          <w:color w:val="EE0000"/>
          <w:szCs w:val="24"/>
        </w:rPr>
        <w:t xml:space="preserve">de </w:t>
      </w:r>
      <w:r w:rsidRPr="00B735FA">
        <w:rPr>
          <w:rFonts w:eastAsia="Times New Roman"/>
          <w:color w:val="EE0000"/>
          <w:szCs w:val="24"/>
        </w:rPr>
        <w:t>las investigaciones realizadas</w:t>
      </w:r>
      <w:r w:rsidR="00FB5893">
        <w:rPr>
          <w:rFonts w:eastAsia="Times New Roman"/>
          <w:color w:val="EE0000"/>
          <w:szCs w:val="24"/>
        </w:rPr>
        <w:t xml:space="preserve"> en aplicación de este artículo</w:t>
      </w:r>
      <w:r w:rsidRPr="00B735FA">
        <w:rPr>
          <w:rFonts w:eastAsia="Times New Roman"/>
          <w:color w:val="EE0000"/>
          <w:szCs w:val="24"/>
        </w:rPr>
        <w:t>, sus resultados y las acciones adoptadas</w:t>
      </w:r>
      <w:r w:rsidR="00723896">
        <w:rPr>
          <w:rFonts w:eastAsia="Times New Roman"/>
          <w:color w:val="EE0000"/>
          <w:szCs w:val="24"/>
        </w:rPr>
        <w:t xml:space="preserve"> de conformidad con la normativa aplicable</w:t>
      </w:r>
      <w:r w:rsidRPr="00B735FA">
        <w:rPr>
          <w:rFonts w:eastAsia="Times New Roman"/>
          <w:color w:val="EE0000"/>
          <w:szCs w:val="24"/>
        </w:rPr>
        <w:t>.</w:t>
      </w:r>
    </w:p>
    <w:bookmarkEnd w:id="2"/>
    <w:p w14:paraId="7F3DE493" w14:textId="0C56EAC8" w:rsidR="5B577446" w:rsidRPr="002817BC" w:rsidRDefault="3276CE18" w:rsidP="009E5D34">
      <w:pPr>
        <w:pStyle w:val="Ttulo1"/>
        <w:numPr>
          <w:ilvl w:val="0"/>
          <w:numId w:val="16"/>
        </w:numPr>
        <w:spacing w:after="240"/>
        <w:rPr>
          <w:rFonts w:cs="Times New Roman"/>
          <w:color w:val="4472C4" w:themeColor="accent1"/>
          <w:szCs w:val="24"/>
        </w:rPr>
      </w:pPr>
      <w:r w:rsidRPr="002817BC">
        <w:rPr>
          <w:rFonts w:cs="Times New Roman"/>
          <w:color w:val="4472C4" w:themeColor="accent1"/>
          <w:szCs w:val="24"/>
        </w:rPr>
        <w:t>Donde dice</w:t>
      </w:r>
    </w:p>
    <w:p w14:paraId="4AE3D444" w14:textId="01165C6A" w:rsidR="0825EC2C" w:rsidRDefault="0825EC2C" w:rsidP="32613A0C">
      <w:pPr>
        <w:jc w:val="both"/>
        <w:rPr>
          <w:rFonts w:eastAsia="Times New Roman"/>
          <w:szCs w:val="24"/>
        </w:rPr>
      </w:pPr>
      <w:r w:rsidRPr="00E80555">
        <w:rPr>
          <w:rFonts w:eastAsia="Times New Roman"/>
          <w:b/>
          <w:bCs/>
          <w:szCs w:val="24"/>
        </w:rPr>
        <w:t>Artículo 57</w:t>
      </w:r>
      <w:r w:rsidRPr="00E80555">
        <w:rPr>
          <w:rFonts w:eastAsia="Times New Roman"/>
          <w:szCs w:val="24"/>
        </w:rPr>
        <w:t xml:space="preserve"> La reparación del daño causado mencionada en el </w:t>
      </w:r>
      <w:r w:rsidR="00685F9C">
        <w:rPr>
          <w:rFonts w:eastAsia="Times New Roman"/>
          <w:szCs w:val="24"/>
        </w:rPr>
        <w:t>artículo</w:t>
      </w:r>
      <w:r w:rsidRPr="00E80555">
        <w:rPr>
          <w:rFonts w:eastAsia="Times New Roman"/>
          <w:szCs w:val="24"/>
        </w:rPr>
        <w:t xml:space="preserve"> precedente no eximirá a la empresa distribuidora de la aplicación de las </w:t>
      </w:r>
      <w:r w:rsidR="00563945" w:rsidRPr="00563945">
        <w:rPr>
          <w:rFonts w:eastAsia="Times New Roman"/>
          <w:szCs w:val="24"/>
        </w:rPr>
        <w:t>penalizaciones</w:t>
      </w:r>
      <w:r w:rsidRPr="00E80555">
        <w:rPr>
          <w:rFonts w:eastAsia="Times New Roman"/>
          <w:szCs w:val="24"/>
        </w:rPr>
        <w:t xml:space="preserve"> que le correspondan según lo establecido en las Normas de Calidad del Servicio Técnico.</w:t>
      </w:r>
    </w:p>
    <w:p w14:paraId="3AE045D4" w14:textId="712BBC5A" w:rsidR="00542005" w:rsidRPr="00E80555" w:rsidRDefault="00542005" w:rsidP="32613A0C">
      <w:pPr>
        <w:jc w:val="both"/>
        <w:rPr>
          <w:szCs w:val="24"/>
        </w:rPr>
      </w:pPr>
      <w:r w:rsidRPr="00542005">
        <w:rPr>
          <w:szCs w:val="24"/>
        </w:rPr>
        <w:t>El Agente del Mercado, distinto de la empresa distribuidora, que sea responsable de los daños en instalaciones y/o artefactos propiedad del cliente o usuario, deberá hacerse cargo de los costos asumidos por la empresa distribuidora que estén asociados a la reparación y/o reposición correspondiente.</w:t>
      </w:r>
    </w:p>
    <w:p w14:paraId="11073E8A" w14:textId="6F7202C2" w:rsidR="0825EC2C" w:rsidRPr="00E80555" w:rsidRDefault="0825EC2C" w:rsidP="32613A0C">
      <w:pPr>
        <w:jc w:val="both"/>
        <w:rPr>
          <w:b/>
          <w:bCs/>
          <w:szCs w:val="24"/>
          <w:u w:val="single"/>
        </w:rPr>
      </w:pPr>
      <w:r w:rsidRPr="00E80555">
        <w:rPr>
          <w:b/>
          <w:bCs/>
          <w:szCs w:val="24"/>
          <w:u w:val="single"/>
        </w:rPr>
        <w:t>Debe decir</w:t>
      </w:r>
    </w:p>
    <w:p w14:paraId="471E55E7" w14:textId="77777777" w:rsidR="00BE1A09" w:rsidRDefault="15192AF8" w:rsidP="00BE1A09">
      <w:pPr>
        <w:jc w:val="both"/>
        <w:rPr>
          <w:rFonts w:eastAsia="Times New Roman"/>
          <w:szCs w:val="24"/>
        </w:rPr>
      </w:pPr>
      <w:r w:rsidRPr="00E80555">
        <w:rPr>
          <w:rFonts w:eastAsia="Times New Roman"/>
          <w:b/>
          <w:bCs/>
          <w:szCs w:val="24"/>
        </w:rPr>
        <w:t>Artículo 57</w:t>
      </w:r>
      <w:r w:rsidRPr="00E80555">
        <w:rPr>
          <w:rFonts w:eastAsia="Times New Roman"/>
          <w:szCs w:val="24"/>
        </w:rPr>
        <w:t xml:space="preserve"> La reparación del daño causado mencionada en el </w:t>
      </w:r>
      <w:r w:rsidRPr="00685F9C">
        <w:rPr>
          <w:rFonts w:eastAsia="Times New Roman"/>
          <w:szCs w:val="24"/>
        </w:rPr>
        <w:t>artículo</w:t>
      </w:r>
      <w:r w:rsidRPr="00E80555">
        <w:rPr>
          <w:rFonts w:eastAsia="Times New Roman"/>
          <w:szCs w:val="24"/>
        </w:rPr>
        <w:t xml:space="preserve"> precedente no eximirá a la empresa distribuidora de la aplicación de las </w:t>
      </w:r>
      <w:r w:rsidRPr="00563945">
        <w:rPr>
          <w:rFonts w:eastAsia="Times New Roman"/>
          <w:szCs w:val="24"/>
        </w:rPr>
        <w:t>penalizaciones</w:t>
      </w:r>
      <w:r w:rsidRPr="00E80555">
        <w:rPr>
          <w:rFonts w:eastAsia="Times New Roman"/>
          <w:szCs w:val="24"/>
        </w:rPr>
        <w:t xml:space="preserve"> que le correspondan según lo establecido en las Normas de Calidad del Servicio Técnico.</w:t>
      </w:r>
      <w:r w:rsidR="00BE1A09">
        <w:rPr>
          <w:rFonts w:eastAsia="Times New Roman"/>
          <w:szCs w:val="24"/>
        </w:rPr>
        <w:t xml:space="preserve"> </w:t>
      </w:r>
    </w:p>
    <w:p w14:paraId="7DCAB03F" w14:textId="77777777" w:rsidR="00635828" w:rsidRPr="00E80555" w:rsidRDefault="00635828" w:rsidP="00635828">
      <w:pPr>
        <w:jc w:val="both"/>
        <w:rPr>
          <w:szCs w:val="24"/>
        </w:rPr>
      </w:pPr>
      <w:r w:rsidRPr="00542005">
        <w:rPr>
          <w:szCs w:val="24"/>
        </w:rPr>
        <w:t>El Agente del Mercado, distinto de la empresa distribuidora, que sea responsable de los daños en instalaciones y/o artefactos propiedad del cliente o usuario, deberá hacerse cargo de los costos asumidos por la empresa distribuidora que estén asociados a la reparación y/o reposición correspondiente.</w:t>
      </w:r>
    </w:p>
    <w:p w14:paraId="04F1DA0A" w14:textId="2213A5DB" w:rsidR="00BE1A09" w:rsidRPr="007A294D" w:rsidRDefault="00BE1A09" w:rsidP="007A294D">
      <w:pPr>
        <w:jc w:val="both"/>
        <w:rPr>
          <w:color w:val="EE0000"/>
          <w:szCs w:val="24"/>
        </w:rPr>
      </w:pPr>
      <w:r w:rsidRPr="007A294D">
        <w:rPr>
          <w:color w:val="EE0000"/>
          <w:szCs w:val="24"/>
        </w:rPr>
        <w:lastRenderedPageBreak/>
        <w:t xml:space="preserve">Debiendo los responsables reembolsar a la empresa distribuidora los importes que correspondan en un plazo máximo de </w:t>
      </w:r>
      <w:r w:rsidR="00635828" w:rsidRPr="007A294D">
        <w:rPr>
          <w:color w:val="EE0000"/>
          <w:szCs w:val="24"/>
        </w:rPr>
        <w:t>treinta</w:t>
      </w:r>
      <w:r w:rsidR="00297890" w:rsidRPr="007A294D">
        <w:rPr>
          <w:color w:val="EE0000"/>
          <w:szCs w:val="24"/>
        </w:rPr>
        <w:t xml:space="preserve"> (</w:t>
      </w:r>
      <w:r w:rsidR="00635828" w:rsidRPr="007A294D">
        <w:rPr>
          <w:color w:val="EE0000"/>
          <w:szCs w:val="24"/>
        </w:rPr>
        <w:t>30</w:t>
      </w:r>
      <w:r w:rsidR="00297890" w:rsidRPr="007A294D">
        <w:rPr>
          <w:color w:val="EE0000"/>
          <w:szCs w:val="24"/>
        </w:rPr>
        <w:t>)</w:t>
      </w:r>
      <w:r w:rsidRPr="007A294D">
        <w:rPr>
          <w:color w:val="EE0000"/>
          <w:szCs w:val="24"/>
        </w:rPr>
        <w:t xml:space="preserve"> días </w:t>
      </w:r>
      <w:r w:rsidR="00297890" w:rsidRPr="007A294D">
        <w:rPr>
          <w:color w:val="EE0000"/>
          <w:szCs w:val="24"/>
        </w:rPr>
        <w:t>hábiles</w:t>
      </w:r>
      <w:r w:rsidRPr="007A294D">
        <w:rPr>
          <w:color w:val="EE0000"/>
          <w:szCs w:val="24"/>
        </w:rPr>
        <w:t xml:space="preserve"> a partir de la determinación oficial de responsabilidades y la notificación correspondiente.</w:t>
      </w:r>
    </w:p>
    <w:p w14:paraId="4537E8EE" w14:textId="2CC16512" w:rsidR="00A41E2F" w:rsidRDefault="00A41E2F" w:rsidP="00A2388A">
      <w:pPr>
        <w:pStyle w:val="Ttulo1"/>
        <w:numPr>
          <w:ilvl w:val="0"/>
          <w:numId w:val="16"/>
        </w:numPr>
        <w:spacing w:after="240"/>
        <w:rPr>
          <w:rFonts w:eastAsia="Times New Roman"/>
          <w:b w:val="0"/>
          <w:bCs/>
          <w:szCs w:val="24"/>
        </w:rPr>
      </w:pPr>
      <w:r w:rsidRPr="00A22918">
        <w:rPr>
          <w:rFonts w:cs="Times New Roman"/>
          <w:color w:val="4472C4" w:themeColor="accent1"/>
          <w:szCs w:val="24"/>
        </w:rPr>
        <w:t>Donde dice</w:t>
      </w:r>
    </w:p>
    <w:p w14:paraId="5CA97C59" w14:textId="77777777" w:rsidR="004F6C7B" w:rsidRDefault="004F6C7B" w:rsidP="004F6C7B">
      <w:pPr>
        <w:jc w:val="both"/>
        <w:rPr>
          <w:rFonts w:eastAsia="Times New Roman"/>
          <w:szCs w:val="24"/>
        </w:rPr>
      </w:pPr>
      <w:r w:rsidRPr="00946A11">
        <w:rPr>
          <w:rFonts w:eastAsia="Times New Roman"/>
          <w:b/>
          <w:bCs/>
          <w:szCs w:val="24"/>
        </w:rPr>
        <w:t>Artículo 60</w:t>
      </w:r>
      <w:r w:rsidRPr="004F6C7B">
        <w:rPr>
          <w:rFonts w:eastAsia="Times New Roman"/>
          <w:szCs w:val="24"/>
        </w:rPr>
        <w:t xml:space="preserve"> La empresa distribuidora deberá mantener un registro de las plantas eléctricas de emergencia con capacidad mayor o igual a 15 kW que sean de propiedad de los clientes de la empresa, con el fin de mantener una base de datos actualizada sobre la capacidad total de plantas de emergencia que sean propiedad de clientes. </w:t>
      </w:r>
    </w:p>
    <w:p w14:paraId="46C14ACE" w14:textId="77777777" w:rsidR="004F6C7B" w:rsidRDefault="004F6C7B" w:rsidP="004F6C7B">
      <w:pPr>
        <w:jc w:val="both"/>
        <w:rPr>
          <w:rFonts w:eastAsia="Times New Roman"/>
          <w:szCs w:val="24"/>
        </w:rPr>
      </w:pPr>
      <w:r w:rsidRPr="004F6C7B">
        <w:rPr>
          <w:rFonts w:eastAsia="Times New Roman"/>
          <w:szCs w:val="24"/>
        </w:rPr>
        <w:t xml:space="preserve">Este registro deberá identificar las plantas que tienen la medición de energía generada por la planta de emergencia antes del medidor del suministro al cliente y las que poseen la medición de energía generada por la planta de emergencia después del medidor del suministro al cliente. </w:t>
      </w:r>
    </w:p>
    <w:p w14:paraId="0D2AF3F0" w14:textId="26EF55F4" w:rsidR="004F6C7B" w:rsidRDefault="004F6C7B" w:rsidP="004F6C7B">
      <w:pPr>
        <w:jc w:val="both"/>
        <w:rPr>
          <w:rFonts w:eastAsia="Times New Roman"/>
          <w:szCs w:val="24"/>
        </w:rPr>
      </w:pPr>
      <w:r w:rsidRPr="004F6C7B">
        <w:rPr>
          <w:rFonts w:eastAsia="Times New Roman"/>
          <w:szCs w:val="24"/>
        </w:rPr>
        <w:t>El esquema de medición se ilustra a continuación:</w:t>
      </w:r>
    </w:p>
    <w:p w14:paraId="5A0D66D3" w14:textId="5233F906" w:rsidR="004F6C7B" w:rsidRDefault="004E039F" w:rsidP="004F6C7B">
      <w:pPr>
        <w:jc w:val="both"/>
        <w:rPr>
          <w:rFonts w:eastAsia="Times New Roman"/>
          <w:szCs w:val="24"/>
        </w:rPr>
      </w:pPr>
      <w:r w:rsidRPr="004E039F">
        <w:rPr>
          <w:rFonts w:eastAsia="Times New Roman"/>
          <w:noProof/>
          <w:szCs w:val="24"/>
        </w:rPr>
        <w:drawing>
          <wp:inline distT="0" distB="0" distL="0" distR="0" wp14:anchorId="2EE53565" wp14:editId="52E3052A">
            <wp:extent cx="5612130" cy="3377565"/>
            <wp:effectExtent l="0" t="0" r="7620" b="0"/>
            <wp:docPr id="109602028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020287" name=""/>
                    <pic:cNvPicPr/>
                  </pic:nvPicPr>
                  <pic:blipFill>
                    <a:blip r:embed="rId12"/>
                    <a:stretch>
                      <a:fillRect/>
                    </a:stretch>
                  </pic:blipFill>
                  <pic:spPr>
                    <a:xfrm>
                      <a:off x="0" y="0"/>
                      <a:ext cx="5612130" cy="3377565"/>
                    </a:xfrm>
                    <a:prstGeom prst="rect">
                      <a:avLst/>
                    </a:prstGeom>
                  </pic:spPr>
                </pic:pic>
              </a:graphicData>
            </a:graphic>
          </wp:inline>
        </w:drawing>
      </w:r>
    </w:p>
    <w:p w14:paraId="20C9D96B" w14:textId="6EE2D9CF" w:rsidR="00782EAA" w:rsidRDefault="00782EAA" w:rsidP="00782EAA">
      <w:pPr>
        <w:jc w:val="both"/>
        <w:rPr>
          <w:rFonts w:eastAsia="Times New Roman"/>
          <w:b/>
          <w:bCs/>
          <w:szCs w:val="24"/>
          <w:u w:val="single"/>
        </w:rPr>
      </w:pPr>
      <w:r>
        <w:rPr>
          <w:rFonts w:eastAsia="Times New Roman"/>
          <w:b/>
          <w:bCs/>
          <w:szCs w:val="24"/>
          <w:u w:val="single"/>
        </w:rPr>
        <w:t>Debe decir</w:t>
      </w:r>
      <w:r w:rsidR="004E039F">
        <w:rPr>
          <w:rFonts w:eastAsia="Times New Roman"/>
          <w:b/>
          <w:bCs/>
          <w:szCs w:val="24"/>
          <w:u w:val="single"/>
        </w:rPr>
        <w:t xml:space="preserve"> </w:t>
      </w:r>
    </w:p>
    <w:p w14:paraId="7763BC75" w14:textId="77777777" w:rsidR="00792C8C" w:rsidRDefault="00792C8C" w:rsidP="00792C8C">
      <w:pPr>
        <w:jc w:val="both"/>
        <w:rPr>
          <w:rFonts w:eastAsia="Times New Roman"/>
          <w:szCs w:val="24"/>
        </w:rPr>
      </w:pPr>
      <w:r w:rsidRPr="00946A11">
        <w:rPr>
          <w:rFonts w:eastAsia="Times New Roman"/>
          <w:b/>
          <w:bCs/>
          <w:szCs w:val="24"/>
        </w:rPr>
        <w:t>Artículo 60</w:t>
      </w:r>
      <w:r w:rsidRPr="004F6C7B">
        <w:rPr>
          <w:rFonts w:eastAsia="Times New Roman"/>
          <w:szCs w:val="24"/>
        </w:rPr>
        <w:t xml:space="preserve"> La empresa distribuidora deberá mantener un registro de las plantas eléctricas de emergencia con capacidad mayor o igual a 15 kW que sean de propiedad de los clientes de la empresa, con el fin de mantener una base de datos actualizada sobre la capacidad total de plantas de emergencia que sean propiedad de clientes. </w:t>
      </w:r>
    </w:p>
    <w:p w14:paraId="3E548759" w14:textId="6A580072" w:rsidR="00792C8C" w:rsidRPr="007A294D" w:rsidRDefault="00792C8C" w:rsidP="007A294D">
      <w:pPr>
        <w:autoSpaceDE w:val="0"/>
        <w:autoSpaceDN w:val="0"/>
        <w:adjustRightInd w:val="0"/>
        <w:jc w:val="both"/>
        <w:rPr>
          <w:color w:val="EE0000"/>
        </w:rPr>
      </w:pPr>
      <w:r w:rsidRPr="007A294D">
        <w:rPr>
          <w:color w:val="EE0000"/>
        </w:rPr>
        <w:t xml:space="preserve">Es responsabilidad del cliente informar las plantas de emergencia </w:t>
      </w:r>
      <w:r w:rsidR="0082486F" w:rsidRPr="007A294D">
        <w:rPr>
          <w:rFonts w:eastAsia="Times New Roman"/>
          <w:color w:val="EE0000"/>
          <w:szCs w:val="24"/>
        </w:rPr>
        <w:t xml:space="preserve">con capacidad mayor o igual a 15 kW </w:t>
      </w:r>
      <w:r w:rsidRPr="007A294D">
        <w:rPr>
          <w:color w:val="EE0000"/>
        </w:rPr>
        <w:t xml:space="preserve">que son de su propiedad y la ubicación de la misma, así como de solicitar la </w:t>
      </w:r>
      <w:r w:rsidRPr="007A294D">
        <w:rPr>
          <w:color w:val="EE0000"/>
        </w:rPr>
        <w:lastRenderedPageBreak/>
        <w:t xml:space="preserve">instalación de un medidor para que la </w:t>
      </w:r>
      <w:r w:rsidR="004052A3" w:rsidRPr="007A294D">
        <w:rPr>
          <w:color w:val="EE0000"/>
        </w:rPr>
        <w:t>e</w:t>
      </w:r>
      <w:r w:rsidRPr="007A294D">
        <w:rPr>
          <w:color w:val="EE0000"/>
        </w:rPr>
        <w:t xml:space="preserve">mpresa </w:t>
      </w:r>
      <w:r w:rsidR="004052A3" w:rsidRPr="007A294D">
        <w:rPr>
          <w:color w:val="EE0000"/>
        </w:rPr>
        <w:t>d</w:t>
      </w:r>
      <w:r w:rsidRPr="007A294D">
        <w:rPr>
          <w:color w:val="EE0000"/>
        </w:rPr>
        <w:t>istribuidora pueda mantener los registros actualizados.</w:t>
      </w:r>
    </w:p>
    <w:p w14:paraId="4841C0A0" w14:textId="3F906FF4" w:rsidR="00792C8C" w:rsidRDefault="00792C8C" w:rsidP="00792C8C">
      <w:pPr>
        <w:jc w:val="both"/>
        <w:rPr>
          <w:rFonts w:eastAsia="Times New Roman"/>
          <w:szCs w:val="24"/>
        </w:rPr>
      </w:pPr>
      <w:r w:rsidRPr="004F6C7B">
        <w:rPr>
          <w:rFonts w:eastAsia="Times New Roman"/>
          <w:szCs w:val="24"/>
        </w:rPr>
        <w:t xml:space="preserve">Este registro deberá identificar las plantas que tienen la medición de energía generada por la planta de emergencia antes del medidor del suministro al cliente y las que poseen la medición de energía generada por la planta de emergencia después del medidor del suministro al cliente. </w:t>
      </w:r>
    </w:p>
    <w:p w14:paraId="1D87982A" w14:textId="77777777" w:rsidR="00792C8C" w:rsidRDefault="00792C8C" w:rsidP="00792C8C">
      <w:pPr>
        <w:jc w:val="both"/>
        <w:rPr>
          <w:rFonts w:eastAsia="Times New Roman"/>
          <w:szCs w:val="24"/>
        </w:rPr>
      </w:pPr>
      <w:r w:rsidRPr="004F6C7B">
        <w:rPr>
          <w:rFonts w:eastAsia="Times New Roman"/>
          <w:szCs w:val="24"/>
        </w:rPr>
        <w:t>El esquema de medición se ilustra a continuación:</w:t>
      </w:r>
    </w:p>
    <w:p w14:paraId="75E53528" w14:textId="77777777" w:rsidR="00792C8C" w:rsidRDefault="00792C8C" w:rsidP="00792C8C">
      <w:pPr>
        <w:jc w:val="both"/>
        <w:rPr>
          <w:rFonts w:eastAsia="Times New Roman"/>
          <w:szCs w:val="24"/>
        </w:rPr>
      </w:pPr>
      <w:r w:rsidRPr="004E039F">
        <w:rPr>
          <w:rFonts w:eastAsia="Times New Roman"/>
          <w:noProof/>
          <w:szCs w:val="24"/>
        </w:rPr>
        <w:drawing>
          <wp:inline distT="0" distB="0" distL="0" distR="0" wp14:anchorId="75353EAF" wp14:editId="16B2A2DB">
            <wp:extent cx="5612130" cy="3377565"/>
            <wp:effectExtent l="0" t="0" r="7620" b="0"/>
            <wp:docPr id="18325193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020287" name=""/>
                    <pic:cNvPicPr/>
                  </pic:nvPicPr>
                  <pic:blipFill>
                    <a:blip r:embed="rId12"/>
                    <a:stretch>
                      <a:fillRect/>
                    </a:stretch>
                  </pic:blipFill>
                  <pic:spPr>
                    <a:xfrm>
                      <a:off x="0" y="0"/>
                      <a:ext cx="5612130" cy="3377565"/>
                    </a:xfrm>
                    <a:prstGeom prst="rect">
                      <a:avLst/>
                    </a:prstGeom>
                  </pic:spPr>
                </pic:pic>
              </a:graphicData>
            </a:graphic>
          </wp:inline>
        </w:drawing>
      </w:r>
    </w:p>
    <w:p w14:paraId="01C135D3" w14:textId="43193E37" w:rsidR="00782EAA" w:rsidRDefault="00782EAA" w:rsidP="00623EE2">
      <w:pPr>
        <w:pStyle w:val="Ttulo1"/>
        <w:numPr>
          <w:ilvl w:val="0"/>
          <w:numId w:val="16"/>
        </w:numPr>
        <w:spacing w:after="240"/>
        <w:rPr>
          <w:rFonts w:eastAsia="Times New Roman"/>
          <w:b w:val="0"/>
          <w:bCs/>
          <w:szCs w:val="24"/>
        </w:rPr>
      </w:pPr>
      <w:r w:rsidRPr="003E4AEC">
        <w:rPr>
          <w:rFonts w:cs="Times New Roman"/>
          <w:color w:val="4472C4" w:themeColor="accent1"/>
          <w:szCs w:val="24"/>
        </w:rPr>
        <w:t>Donde dice</w:t>
      </w:r>
    </w:p>
    <w:p w14:paraId="154A1824" w14:textId="718C5B68" w:rsidR="00AF4C92" w:rsidRPr="00946A11" w:rsidRDefault="00AF4C92" w:rsidP="00946A11">
      <w:pPr>
        <w:jc w:val="both"/>
        <w:rPr>
          <w:rFonts w:eastAsia="Times New Roman"/>
          <w:szCs w:val="24"/>
        </w:rPr>
      </w:pPr>
      <w:r w:rsidRPr="00AF4C92">
        <w:rPr>
          <w:rFonts w:eastAsia="Times New Roman"/>
          <w:b/>
          <w:bCs/>
          <w:szCs w:val="24"/>
        </w:rPr>
        <w:t xml:space="preserve">Artículo 62 </w:t>
      </w:r>
      <w:r w:rsidRPr="00946A11">
        <w:rPr>
          <w:rFonts w:eastAsia="Times New Roman"/>
          <w:szCs w:val="24"/>
        </w:rPr>
        <w:t>Cuando la empresa distribuidora realice el registro de la planta de emergencia, e identifique que la medición de la energía generada es registrada en el medidor de suministro (ver figura A del artículo 60) de la empresa distribuidora, deberá solicitar información sobre el número de cuenta de las áreas comunes del edificio o del complejo comercial al que se acreditará el suministro de dicha planta de emergencia o la información pertinente para la devolución en efectivo. La información deberá ser suministrada en un documento que deberá ser firmado por el cliente, para lo que deberá estar acreditado para ello</w:t>
      </w:r>
      <w:r>
        <w:rPr>
          <w:rFonts w:eastAsia="Times New Roman"/>
          <w:szCs w:val="24"/>
        </w:rPr>
        <w:t>.</w:t>
      </w:r>
    </w:p>
    <w:p w14:paraId="647B63B8" w14:textId="2216CED2" w:rsidR="00782EAA" w:rsidRDefault="00782EAA" w:rsidP="00946A11">
      <w:pPr>
        <w:jc w:val="both"/>
        <w:rPr>
          <w:b/>
          <w:bCs/>
          <w:szCs w:val="24"/>
        </w:rPr>
      </w:pPr>
      <w:r w:rsidRPr="00946A11">
        <w:rPr>
          <w:rFonts w:eastAsia="Times New Roman"/>
          <w:b/>
          <w:bCs/>
          <w:szCs w:val="24"/>
          <w:u w:val="single"/>
        </w:rPr>
        <w:t>Debe decir</w:t>
      </w:r>
      <w:r w:rsidR="00437962">
        <w:rPr>
          <w:rFonts w:eastAsia="Times New Roman"/>
          <w:b/>
          <w:bCs/>
          <w:szCs w:val="24"/>
          <w:u w:val="single"/>
        </w:rPr>
        <w:t xml:space="preserve"> </w:t>
      </w:r>
    </w:p>
    <w:p w14:paraId="61B7A85A" w14:textId="42449AAF" w:rsidR="00792C8C" w:rsidRPr="00946A11" w:rsidRDefault="00792C8C" w:rsidP="00792C8C">
      <w:pPr>
        <w:jc w:val="both"/>
        <w:rPr>
          <w:rFonts w:eastAsia="Times New Roman"/>
          <w:szCs w:val="24"/>
        </w:rPr>
      </w:pPr>
      <w:r w:rsidRPr="00AF4C92">
        <w:rPr>
          <w:rFonts w:eastAsia="Times New Roman"/>
          <w:b/>
          <w:bCs/>
          <w:szCs w:val="24"/>
        </w:rPr>
        <w:t xml:space="preserve">Artículo 62 </w:t>
      </w:r>
      <w:r w:rsidRPr="00946A11">
        <w:rPr>
          <w:rFonts w:eastAsia="Times New Roman"/>
          <w:szCs w:val="24"/>
        </w:rPr>
        <w:t xml:space="preserve">Cuando la empresa distribuidora realice el registro de la planta de emergencia, e identifique que la medición de la energía generada es registrada en el medidor de suministro (ver figura A del artículo 60) de la empresa distribuidora, </w:t>
      </w:r>
      <w:r w:rsidR="002E593C" w:rsidRPr="007A294D">
        <w:rPr>
          <w:rFonts w:eastAsia="Times New Roman"/>
          <w:color w:val="EE0000"/>
          <w:szCs w:val="24"/>
        </w:rPr>
        <w:t xml:space="preserve">el cliente </w:t>
      </w:r>
      <w:r w:rsidR="002E593C" w:rsidRPr="002E593C">
        <w:rPr>
          <w:rFonts w:eastAsia="Times New Roman"/>
          <w:szCs w:val="24"/>
        </w:rPr>
        <w:t xml:space="preserve">deberá </w:t>
      </w:r>
      <w:r w:rsidR="00385847" w:rsidRPr="007A294D">
        <w:rPr>
          <w:rFonts w:eastAsia="Times New Roman"/>
          <w:color w:val="EE0000"/>
          <w:szCs w:val="24"/>
        </w:rPr>
        <w:t>suministrar</w:t>
      </w:r>
      <w:r w:rsidRPr="00946A11" w:rsidDel="002E593C">
        <w:rPr>
          <w:rFonts w:eastAsia="Times New Roman"/>
          <w:szCs w:val="24"/>
        </w:rPr>
        <w:t xml:space="preserve"> información </w:t>
      </w:r>
      <w:r w:rsidRPr="00946A11">
        <w:rPr>
          <w:rFonts w:eastAsia="Times New Roman"/>
          <w:szCs w:val="24"/>
        </w:rPr>
        <w:t xml:space="preserve">sobre el número de cuenta de las áreas comunes del edificio o del complejo </w:t>
      </w:r>
      <w:r w:rsidRPr="00946A11">
        <w:rPr>
          <w:rFonts w:eastAsia="Times New Roman"/>
          <w:szCs w:val="24"/>
        </w:rPr>
        <w:lastRenderedPageBreak/>
        <w:t xml:space="preserve">comercial al que se acreditará el suministro de dicha planta de emergencia o la información pertinente para la </w:t>
      </w:r>
      <w:r w:rsidRPr="00452BA0">
        <w:rPr>
          <w:rFonts w:eastAsia="Times New Roman"/>
          <w:szCs w:val="24"/>
        </w:rPr>
        <w:t>devolución en efectivo</w:t>
      </w:r>
      <w:r w:rsidR="002E593C" w:rsidRPr="00452BA0">
        <w:rPr>
          <w:rFonts w:eastAsia="Times New Roman"/>
          <w:szCs w:val="24"/>
        </w:rPr>
        <w:t xml:space="preserve">, </w:t>
      </w:r>
      <w:r w:rsidR="002E593C" w:rsidRPr="00452BA0">
        <w:rPr>
          <w:rFonts w:eastAsia="Times New Roman"/>
          <w:color w:val="EE0000"/>
          <w:szCs w:val="24"/>
        </w:rPr>
        <w:t>cheque</w:t>
      </w:r>
      <w:r w:rsidR="002E593C" w:rsidRPr="007A294D">
        <w:rPr>
          <w:rFonts w:eastAsia="Times New Roman"/>
          <w:color w:val="EE0000"/>
          <w:szCs w:val="24"/>
        </w:rPr>
        <w:t>, transferencia bancaria u otro medio de pago que permita demostrar la devolución</w:t>
      </w:r>
      <w:r w:rsidRPr="00946A11">
        <w:rPr>
          <w:rFonts w:eastAsia="Times New Roman"/>
          <w:szCs w:val="24"/>
        </w:rPr>
        <w:t>. La información deberá ser suministrada en un documento que deberá ser firmado por el cliente, para lo que deberá estar acreditado para ello</w:t>
      </w:r>
      <w:r>
        <w:rPr>
          <w:rFonts w:eastAsia="Times New Roman"/>
          <w:szCs w:val="24"/>
        </w:rPr>
        <w:t>.</w:t>
      </w:r>
    </w:p>
    <w:p w14:paraId="46602FF0" w14:textId="0948F63D" w:rsidR="00782EAA" w:rsidRDefault="00782EAA" w:rsidP="00C479AE">
      <w:pPr>
        <w:pStyle w:val="Ttulo1"/>
        <w:numPr>
          <w:ilvl w:val="0"/>
          <w:numId w:val="16"/>
        </w:numPr>
        <w:spacing w:after="240"/>
        <w:rPr>
          <w:rFonts w:eastAsia="Times New Roman"/>
          <w:b w:val="0"/>
          <w:bCs/>
          <w:szCs w:val="24"/>
        </w:rPr>
      </w:pPr>
      <w:r w:rsidRPr="00EA0C92">
        <w:rPr>
          <w:rFonts w:cs="Times New Roman"/>
          <w:color w:val="4472C4" w:themeColor="accent1"/>
          <w:szCs w:val="24"/>
        </w:rPr>
        <w:t>Donde dice</w:t>
      </w:r>
    </w:p>
    <w:p w14:paraId="20E4B0E1" w14:textId="77777777" w:rsidR="001D0879" w:rsidRDefault="00AF4C92" w:rsidP="00946A11">
      <w:pPr>
        <w:jc w:val="both"/>
        <w:rPr>
          <w:rFonts w:eastAsia="Times New Roman"/>
          <w:szCs w:val="24"/>
        </w:rPr>
      </w:pPr>
      <w:r w:rsidRPr="00AF4C92">
        <w:rPr>
          <w:rFonts w:eastAsia="Times New Roman"/>
          <w:b/>
          <w:bCs/>
          <w:szCs w:val="24"/>
        </w:rPr>
        <w:t xml:space="preserve">Artículo 63 </w:t>
      </w:r>
      <w:r w:rsidRPr="00946A11">
        <w:rPr>
          <w:rFonts w:eastAsia="Times New Roman"/>
          <w:szCs w:val="24"/>
        </w:rPr>
        <w:t xml:space="preserve">La empresa distribuidora deberá instalar un medidor horario que registre la energía autoabastecida por la planta eléctrica de emergencia. </w:t>
      </w:r>
    </w:p>
    <w:p w14:paraId="53C26D04" w14:textId="48E8AA93" w:rsidR="00AF4C92" w:rsidRPr="00946A11" w:rsidRDefault="00AF4C92" w:rsidP="00946A11">
      <w:pPr>
        <w:jc w:val="both"/>
        <w:rPr>
          <w:rFonts w:eastAsia="Times New Roman"/>
          <w:b/>
          <w:bCs/>
          <w:szCs w:val="24"/>
        </w:rPr>
      </w:pPr>
      <w:r w:rsidRPr="00946A11">
        <w:rPr>
          <w:rFonts w:eastAsia="Times New Roman"/>
          <w:szCs w:val="24"/>
        </w:rPr>
        <w:t>Para tal fin, la empresa distribuidora deberá obtener la información de las características técnicas de la planta eléctrica de emergencia.</w:t>
      </w:r>
    </w:p>
    <w:p w14:paraId="47BEC356" w14:textId="0FD3047A" w:rsidR="00782EAA" w:rsidRDefault="00782EAA" w:rsidP="00782EAA">
      <w:pPr>
        <w:jc w:val="both"/>
        <w:rPr>
          <w:b/>
          <w:bCs/>
          <w:szCs w:val="24"/>
        </w:rPr>
      </w:pPr>
      <w:r>
        <w:rPr>
          <w:rFonts w:eastAsia="Times New Roman"/>
          <w:b/>
          <w:bCs/>
          <w:szCs w:val="24"/>
          <w:u w:val="single"/>
        </w:rPr>
        <w:t>Debe decir</w:t>
      </w:r>
      <w:r w:rsidR="00437962">
        <w:rPr>
          <w:rFonts w:eastAsia="Times New Roman"/>
          <w:b/>
          <w:bCs/>
          <w:szCs w:val="24"/>
          <w:u w:val="single"/>
        </w:rPr>
        <w:t xml:space="preserve"> </w:t>
      </w:r>
    </w:p>
    <w:p w14:paraId="05A4638C" w14:textId="77777777" w:rsidR="001D0879" w:rsidRDefault="002E593C" w:rsidP="00782EAA">
      <w:pPr>
        <w:jc w:val="both"/>
        <w:rPr>
          <w:rFonts w:eastAsia="Times New Roman"/>
          <w:szCs w:val="24"/>
        </w:rPr>
      </w:pPr>
      <w:r w:rsidRPr="00AF4C92">
        <w:rPr>
          <w:rFonts w:eastAsia="Times New Roman"/>
          <w:b/>
          <w:bCs/>
          <w:szCs w:val="24"/>
        </w:rPr>
        <w:t xml:space="preserve">Artículo 63 </w:t>
      </w:r>
      <w:r w:rsidRPr="00946A11">
        <w:rPr>
          <w:rFonts w:eastAsia="Times New Roman"/>
          <w:szCs w:val="24"/>
        </w:rPr>
        <w:t xml:space="preserve">La empresa distribuidora deberá instalar un medidor horario que registre la energía autoabastecida por la planta eléctrica de emergencia. </w:t>
      </w:r>
    </w:p>
    <w:p w14:paraId="72FBEDE4" w14:textId="59A6EA37" w:rsidR="002E593C" w:rsidRDefault="002E593C" w:rsidP="00782EAA">
      <w:pPr>
        <w:jc w:val="both"/>
        <w:rPr>
          <w:rFonts w:eastAsia="Times New Roman"/>
          <w:szCs w:val="24"/>
        </w:rPr>
      </w:pPr>
      <w:r w:rsidRPr="00946A11">
        <w:rPr>
          <w:rFonts w:eastAsia="Times New Roman"/>
          <w:szCs w:val="24"/>
        </w:rPr>
        <w:t xml:space="preserve">Para tal fin, </w:t>
      </w:r>
      <w:r w:rsidRPr="007A294D">
        <w:rPr>
          <w:rFonts w:eastAsia="Times New Roman"/>
          <w:color w:val="EE0000"/>
          <w:szCs w:val="24"/>
        </w:rPr>
        <w:t xml:space="preserve">el cliente </w:t>
      </w:r>
      <w:r w:rsidRPr="00946A11">
        <w:rPr>
          <w:rFonts w:eastAsia="Times New Roman"/>
          <w:szCs w:val="24"/>
        </w:rPr>
        <w:t xml:space="preserve">deberá </w:t>
      </w:r>
      <w:r w:rsidRPr="007A294D">
        <w:rPr>
          <w:rFonts w:eastAsia="Times New Roman"/>
          <w:color w:val="EE0000"/>
          <w:szCs w:val="24"/>
        </w:rPr>
        <w:t xml:space="preserve">suministrar </w:t>
      </w:r>
      <w:r w:rsidRPr="00946A11">
        <w:rPr>
          <w:rFonts w:eastAsia="Times New Roman"/>
          <w:szCs w:val="24"/>
        </w:rPr>
        <w:t>información de las características técnicas de la planta eléctrica de emergencia.</w:t>
      </w:r>
    </w:p>
    <w:p w14:paraId="5715C778" w14:textId="77777777" w:rsidR="00DC27A1" w:rsidRPr="00950B60" w:rsidRDefault="00DC27A1" w:rsidP="00DC27A1">
      <w:pPr>
        <w:pStyle w:val="Ttulo1"/>
        <w:numPr>
          <w:ilvl w:val="0"/>
          <w:numId w:val="16"/>
        </w:numPr>
        <w:spacing w:after="240"/>
        <w:rPr>
          <w:rFonts w:cs="Times New Roman"/>
          <w:bCs/>
          <w:color w:val="4472C4" w:themeColor="accent1"/>
          <w:szCs w:val="24"/>
        </w:rPr>
      </w:pPr>
      <w:r w:rsidRPr="00950B60">
        <w:rPr>
          <w:rFonts w:cs="Times New Roman"/>
          <w:bCs/>
          <w:color w:val="4472C4" w:themeColor="accent1"/>
          <w:szCs w:val="24"/>
        </w:rPr>
        <w:t>Donde dice</w:t>
      </w:r>
    </w:p>
    <w:p w14:paraId="6C8306F7" w14:textId="62D61BEA" w:rsidR="004269F4" w:rsidRPr="004269F4" w:rsidRDefault="00DC27A1" w:rsidP="004269F4">
      <w:pPr>
        <w:tabs>
          <w:tab w:val="left" w:pos="180"/>
        </w:tabs>
        <w:jc w:val="both"/>
      </w:pPr>
      <w:r w:rsidRPr="004269F4">
        <w:rPr>
          <w:b/>
          <w:bCs/>
        </w:rPr>
        <w:t>Artículo 64</w:t>
      </w:r>
      <w:r w:rsidRPr="004269F4">
        <w:t xml:space="preserve"> </w:t>
      </w:r>
      <w:r w:rsidR="004269F4" w:rsidRPr="004269F4">
        <w:t>Al cliente propietario de la planta eléctrica de emergencia le corresponde autorizar la instalación de la medición, así como cubrir el cargo de conexión del medidor aprobado en el pliego tarifario.</w:t>
      </w:r>
    </w:p>
    <w:p w14:paraId="79AF2ABD" w14:textId="77777777" w:rsidR="004269F4" w:rsidRPr="00822255" w:rsidRDefault="004269F4" w:rsidP="004269F4">
      <w:pPr>
        <w:tabs>
          <w:tab w:val="left" w:pos="180"/>
        </w:tabs>
        <w:jc w:val="both"/>
      </w:pPr>
      <w:r w:rsidRPr="00822255">
        <w:t>Las empresas distribuidoras deberán instalar los medidores haciendo uso de las diferentes tecnologías de medición disponibles y no deberán requerir adecuaciones en las instalaciones del cliente a menos que dichas adecuaciones sean mínimas y estrictamente necesarias.</w:t>
      </w:r>
    </w:p>
    <w:p w14:paraId="50077BFC" w14:textId="77777777" w:rsidR="004269F4" w:rsidRPr="00822255" w:rsidRDefault="004269F4" w:rsidP="004269F4">
      <w:pPr>
        <w:tabs>
          <w:tab w:val="left" w:pos="180"/>
        </w:tabs>
        <w:jc w:val="both"/>
      </w:pPr>
      <w:r w:rsidRPr="00822255">
        <w:t xml:space="preserve">Todos los costos asociados a la operación, mantenimiento y administración de las plantas de emergencia de los </w:t>
      </w:r>
      <w:proofErr w:type="gramStart"/>
      <w:r w:rsidRPr="00822255">
        <w:t>Clientes,</w:t>
      </w:r>
      <w:proofErr w:type="gramEnd"/>
      <w:r w:rsidRPr="00822255">
        <w:t xml:space="preserve"> serán responsabilidad de sus propietarios.</w:t>
      </w:r>
    </w:p>
    <w:p w14:paraId="619FEF79" w14:textId="77777777" w:rsidR="004269F4" w:rsidRDefault="004269F4" w:rsidP="004269F4">
      <w:pPr>
        <w:jc w:val="both"/>
        <w:rPr>
          <w:b/>
          <w:bCs/>
          <w:szCs w:val="24"/>
        </w:rPr>
      </w:pPr>
      <w:r>
        <w:rPr>
          <w:rFonts w:eastAsia="Times New Roman"/>
          <w:b/>
          <w:bCs/>
          <w:szCs w:val="24"/>
          <w:u w:val="single"/>
        </w:rPr>
        <w:t xml:space="preserve">Debe decir </w:t>
      </w:r>
    </w:p>
    <w:p w14:paraId="7A5DFD61" w14:textId="0CA90280" w:rsidR="004269F4" w:rsidRPr="004269F4" w:rsidRDefault="004269F4" w:rsidP="004269F4">
      <w:pPr>
        <w:tabs>
          <w:tab w:val="left" w:pos="180"/>
        </w:tabs>
        <w:jc w:val="both"/>
      </w:pPr>
      <w:r w:rsidRPr="004269F4">
        <w:rPr>
          <w:b/>
          <w:bCs/>
        </w:rPr>
        <w:t>Artículo 64</w:t>
      </w:r>
      <w:r w:rsidRPr="004269F4">
        <w:t xml:space="preserve"> Al cliente propietario de la planta eléctrica de emergencia le corresponde </w:t>
      </w:r>
      <w:r w:rsidRPr="00A170F9">
        <w:rPr>
          <w:color w:val="EE0000"/>
        </w:rPr>
        <w:t xml:space="preserve">solicitar y </w:t>
      </w:r>
      <w:r w:rsidRPr="004269F4">
        <w:t>autorizar la instalación de la medición, así como cubrir el cargo de conexión del medidor aprobado en el pliego tarifario.</w:t>
      </w:r>
    </w:p>
    <w:p w14:paraId="02CE78BD" w14:textId="77777777" w:rsidR="004269F4" w:rsidRPr="00822255" w:rsidRDefault="004269F4" w:rsidP="004269F4">
      <w:pPr>
        <w:tabs>
          <w:tab w:val="left" w:pos="180"/>
        </w:tabs>
        <w:jc w:val="both"/>
      </w:pPr>
      <w:r w:rsidRPr="00822255">
        <w:t>Las empresas distribuidoras deberán instalar los medidores haciendo uso de las diferentes tecnologías de medición disponibles y no deberán requerir adecuaciones en las instalaciones del cliente a menos que dichas adecuaciones sean mínimas y estrictamente necesarias.</w:t>
      </w:r>
    </w:p>
    <w:p w14:paraId="45FA9FEF" w14:textId="46A16BF5" w:rsidR="004269F4" w:rsidRPr="00822255" w:rsidRDefault="004269F4" w:rsidP="004269F4">
      <w:pPr>
        <w:tabs>
          <w:tab w:val="left" w:pos="180"/>
        </w:tabs>
        <w:jc w:val="both"/>
      </w:pPr>
      <w:r w:rsidRPr="00822255">
        <w:t xml:space="preserve">Todos los costos asociados a la operación, mantenimiento y administración de las plantas de emergencia de los </w:t>
      </w:r>
      <w:r w:rsidR="00950B60" w:rsidRPr="00A170F9">
        <w:rPr>
          <w:color w:val="EE0000"/>
        </w:rPr>
        <w:t>c</w:t>
      </w:r>
      <w:r w:rsidRPr="00822255">
        <w:t>lientes serán responsabilidad de sus propietarios.</w:t>
      </w:r>
    </w:p>
    <w:p w14:paraId="60269060" w14:textId="31F1D3C9" w:rsidR="29A9ECA1" w:rsidRPr="00950B60" w:rsidRDefault="29A9ECA1" w:rsidP="00FF04CD">
      <w:pPr>
        <w:pStyle w:val="Ttulo1"/>
        <w:numPr>
          <w:ilvl w:val="0"/>
          <w:numId w:val="16"/>
        </w:numPr>
        <w:spacing w:after="240"/>
        <w:rPr>
          <w:rFonts w:cs="Times New Roman"/>
          <w:color w:val="4472C4" w:themeColor="accent1"/>
          <w:szCs w:val="24"/>
        </w:rPr>
      </w:pPr>
      <w:r w:rsidRPr="00950B60">
        <w:rPr>
          <w:rFonts w:cs="Times New Roman"/>
          <w:color w:val="4472C4" w:themeColor="accent1"/>
          <w:szCs w:val="24"/>
        </w:rPr>
        <w:lastRenderedPageBreak/>
        <w:t>Donde dice</w:t>
      </w:r>
    </w:p>
    <w:p w14:paraId="5F8730EB" w14:textId="54AD3271" w:rsidR="5B577446" w:rsidRPr="00E80555" w:rsidRDefault="6B478821" w:rsidP="5B577446">
      <w:pPr>
        <w:jc w:val="both"/>
        <w:rPr>
          <w:rFonts w:eastAsia="Times New Roman"/>
          <w:szCs w:val="24"/>
        </w:rPr>
      </w:pPr>
      <w:r w:rsidRPr="00E80555">
        <w:rPr>
          <w:rFonts w:eastAsia="Times New Roman"/>
          <w:b/>
          <w:bCs/>
          <w:szCs w:val="24"/>
        </w:rPr>
        <w:t>Artículo 71</w:t>
      </w:r>
      <w:r w:rsidRPr="00E80555">
        <w:rPr>
          <w:rFonts w:eastAsia="Times New Roman"/>
          <w:szCs w:val="24"/>
        </w:rPr>
        <w:t xml:space="preserve"> </w:t>
      </w:r>
      <w:r w:rsidRPr="00E80555">
        <w:rPr>
          <w:rFonts w:eastAsia="Times New Roman"/>
          <w:b/>
          <w:bCs/>
          <w:szCs w:val="24"/>
        </w:rPr>
        <w:t>CONDICIONES PREVIAS</w:t>
      </w:r>
    </w:p>
    <w:p w14:paraId="70F39315" w14:textId="06AF28F8" w:rsidR="6B478821" w:rsidRPr="00E80555" w:rsidRDefault="6B478821" w:rsidP="11762281">
      <w:pPr>
        <w:jc w:val="both"/>
        <w:rPr>
          <w:rFonts w:eastAsia="Times New Roman"/>
          <w:szCs w:val="24"/>
        </w:rPr>
      </w:pPr>
      <w:r w:rsidRPr="00E80555">
        <w:rPr>
          <w:rFonts w:eastAsia="Times New Roman"/>
          <w:szCs w:val="24"/>
        </w:rPr>
        <w:t>Conforme a la regulación vigente, es obligación del cliente mantener su aparato de medición, libre de todo impedimento que limite o pueda llegar a limitar a las empresas distribuidoras en la ejecución de labores asociadas a la prestación del servicio eléctrico como son la medición del consumo eléctrico, inspecciones y mantenimientos de la instalación del medidor y acometida.</w:t>
      </w:r>
    </w:p>
    <w:p w14:paraId="56F6C0AE" w14:textId="4DEB2B9C" w:rsidR="6B478821" w:rsidRPr="00E80555" w:rsidRDefault="6B478821" w:rsidP="11762281">
      <w:pPr>
        <w:jc w:val="both"/>
        <w:rPr>
          <w:rFonts w:eastAsia="Times New Roman"/>
          <w:szCs w:val="24"/>
        </w:rPr>
      </w:pPr>
      <w:r w:rsidRPr="00E80555">
        <w:rPr>
          <w:rFonts w:eastAsia="Times New Roman"/>
          <w:szCs w:val="24"/>
        </w:rPr>
        <w:t>En virtud de ello, en los casos en que existan obstrucciones de cercas o cualquier otro elemento que impidan las labores de las empresas distribuidoras como medición, inspección y mantenimiento de los medidores de energía eléctrica, la empresa distribuidora solicitará por escrito al cliente con medidor encerrado, la reubicación de su medidor y otorgará para ello un plazo no menor a sesenta (60) días calendarios, enviando dos notificaciones mensuales consecutivas al cliente en ese periodo.</w:t>
      </w:r>
    </w:p>
    <w:p w14:paraId="4363ABF8" w14:textId="6F7202C2" w:rsidR="11762281" w:rsidRPr="00E80555" w:rsidRDefault="501640C0" w:rsidP="39FFF029">
      <w:pPr>
        <w:jc w:val="both"/>
        <w:rPr>
          <w:b/>
          <w:bCs/>
          <w:szCs w:val="24"/>
          <w:u w:val="single"/>
        </w:rPr>
      </w:pPr>
      <w:r w:rsidRPr="00E80555">
        <w:rPr>
          <w:b/>
          <w:bCs/>
          <w:szCs w:val="24"/>
          <w:u w:val="single"/>
        </w:rPr>
        <w:t>Debe decir</w:t>
      </w:r>
    </w:p>
    <w:p w14:paraId="46440EA6" w14:textId="36761331" w:rsidR="11762281" w:rsidRPr="00E80555" w:rsidRDefault="507B8BBD" w:rsidP="06EA51B1">
      <w:pPr>
        <w:jc w:val="both"/>
        <w:rPr>
          <w:rFonts w:eastAsia="Times New Roman"/>
          <w:b/>
          <w:bCs/>
          <w:szCs w:val="24"/>
        </w:rPr>
      </w:pPr>
      <w:r w:rsidRPr="00E80555">
        <w:rPr>
          <w:rFonts w:eastAsia="Times New Roman"/>
          <w:b/>
          <w:bCs/>
          <w:szCs w:val="24"/>
        </w:rPr>
        <w:t>Artículo 71</w:t>
      </w:r>
      <w:r w:rsidRPr="00E80555">
        <w:rPr>
          <w:rFonts w:eastAsia="Times New Roman"/>
          <w:szCs w:val="24"/>
        </w:rPr>
        <w:t xml:space="preserve"> </w:t>
      </w:r>
      <w:r w:rsidRPr="00E80555">
        <w:rPr>
          <w:rFonts w:eastAsia="Times New Roman"/>
          <w:b/>
          <w:bCs/>
          <w:szCs w:val="24"/>
        </w:rPr>
        <w:t>CONDICIONES PREVIAS</w:t>
      </w:r>
    </w:p>
    <w:p w14:paraId="2DD7D93D" w14:textId="7DB09FEA" w:rsidR="11762281" w:rsidRPr="00E80555" w:rsidRDefault="507B8BBD" w:rsidP="06EA51B1">
      <w:pPr>
        <w:jc w:val="both"/>
        <w:rPr>
          <w:rFonts w:eastAsia="Times New Roman"/>
          <w:b/>
          <w:bCs/>
          <w:szCs w:val="24"/>
        </w:rPr>
      </w:pPr>
      <w:r w:rsidRPr="00E80555">
        <w:rPr>
          <w:rFonts w:eastAsia="Times New Roman"/>
          <w:szCs w:val="24"/>
        </w:rPr>
        <w:t>Conforme a la regulación vigente, es obligación del cliente mantener su aparato de medición, libre de todo impedimento que limite o pueda llegar a limitar a las empresas distribuidoras en la ejecución de labores asociadas a la prestación del servicio eléctrico como son la medición del consumo eléctrico, inspecciones y mantenimientos de la instalación del medidor y acometida.</w:t>
      </w:r>
    </w:p>
    <w:p w14:paraId="0BC49A58" w14:textId="19FBC013" w:rsidR="00C91F40" w:rsidRPr="006E09D7" w:rsidRDefault="00603C7C" w:rsidP="00FE1F0C">
      <w:pPr>
        <w:jc w:val="both"/>
        <w:rPr>
          <w:rFonts w:eastAsia="Times New Roman"/>
          <w:color w:val="EE0000"/>
        </w:rPr>
      </w:pPr>
      <w:r w:rsidRPr="1D0E28CF">
        <w:rPr>
          <w:rFonts w:eastAsia="Times New Roman"/>
          <w:color w:val="EE0000"/>
        </w:rPr>
        <w:t xml:space="preserve">Si el medidor </w:t>
      </w:r>
      <w:r w:rsidR="00B52C33" w:rsidRPr="1D0E28CF">
        <w:rPr>
          <w:rFonts w:eastAsia="Times New Roman"/>
          <w:color w:val="EE0000"/>
        </w:rPr>
        <w:t>se encuentra encerrado o inaccesible</w:t>
      </w:r>
      <w:r w:rsidR="006100B2" w:rsidRPr="1D0E28CF">
        <w:rPr>
          <w:rFonts w:eastAsia="Times New Roman"/>
          <w:color w:val="EE0000"/>
        </w:rPr>
        <w:t xml:space="preserve">, </w:t>
      </w:r>
      <w:r w:rsidR="507B8BBD" w:rsidRPr="1D0E28CF">
        <w:rPr>
          <w:rFonts w:eastAsia="Times New Roman"/>
        </w:rPr>
        <w:t xml:space="preserve">la empresa distribuidora </w:t>
      </w:r>
      <w:r w:rsidR="00BB1026" w:rsidRPr="1D0E28CF">
        <w:rPr>
          <w:rFonts w:eastAsia="Times New Roman"/>
          <w:color w:val="EE0000"/>
        </w:rPr>
        <w:t>notificará</w:t>
      </w:r>
      <w:r w:rsidR="00010540" w:rsidRPr="1D0E28CF">
        <w:rPr>
          <w:rFonts w:eastAsia="Times New Roman"/>
          <w:color w:val="EE0000"/>
        </w:rPr>
        <w:t xml:space="preserve"> formalmente al cliente</w:t>
      </w:r>
      <w:r w:rsidR="00BB1026" w:rsidRPr="1D0E28CF">
        <w:rPr>
          <w:rFonts w:eastAsia="Times New Roman"/>
          <w:color w:val="EE0000"/>
        </w:rPr>
        <w:t xml:space="preserve"> </w:t>
      </w:r>
      <w:r w:rsidR="507B8BBD" w:rsidRPr="1D0E28CF">
        <w:rPr>
          <w:rFonts w:eastAsia="Times New Roman"/>
        </w:rPr>
        <w:t>por escrito en nota</w:t>
      </w:r>
      <w:r w:rsidR="00AB6997" w:rsidRPr="1D0E28CF">
        <w:rPr>
          <w:rFonts w:eastAsia="Times New Roman"/>
        </w:rPr>
        <w:t xml:space="preserve"> o</w:t>
      </w:r>
      <w:r w:rsidR="507B8BBD" w:rsidRPr="1D0E28CF">
        <w:rPr>
          <w:rFonts w:eastAsia="Times New Roman"/>
        </w:rPr>
        <w:t xml:space="preserve"> a través de notificación en la factura o a través de correo electrónico registrado</w:t>
      </w:r>
      <w:r w:rsidR="00156FB3" w:rsidRPr="1D0E28CF">
        <w:rPr>
          <w:rFonts w:eastAsia="Times New Roman"/>
        </w:rPr>
        <w:t xml:space="preserve"> </w:t>
      </w:r>
      <w:r w:rsidR="00156FB3" w:rsidRPr="1D0E28CF">
        <w:rPr>
          <w:rFonts w:eastAsia="Times New Roman"/>
          <w:color w:val="EE0000"/>
        </w:rPr>
        <w:t>o algún otro medio</w:t>
      </w:r>
      <w:r w:rsidR="00974522" w:rsidRPr="1D0E28CF">
        <w:rPr>
          <w:rFonts w:eastAsia="Times New Roman"/>
          <w:color w:val="EE0000"/>
        </w:rPr>
        <w:t xml:space="preserve"> idóneo</w:t>
      </w:r>
      <w:r w:rsidR="507B8BBD" w:rsidRPr="1D0E28CF">
        <w:rPr>
          <w:rFonts w:eastAsia="Times New Roman"/>
        </w:rPr>
        <w:t xml:space="preserve">, </w:t>
      </w:r>
      <w:r w:rsidR="00A407E5" w:rsidRPr="1D0E28CF">
        <w:rPr>
          <w:rFonts w:eastAsia="Times New Roman"/>
        </w:rPr>
        <w:t>otorgándole</w:t>
      </w:r>
      <w:r w:rsidR="507B8BBD" w:rsidRPr="1D0E28CF">
        <w:rPr>
          <w:rFonts w:eastAsia="Times New Roman"/>
        </w:rPr>
        <w:t xml:space="preserve"> un plazo </w:t>
      </w:r>
      <w:r w:rsidR="0098061F" w:rsidRPr="1D0E28CF">
        <w:rPr>
          <w:rFonts w:eastAsia="Times New Roman"/>
          <w:color w:val="EE0000"/>
        </w:rPr>
        <w:t>de</w:t>
      </w:r>
      <w:r w:rsidR="507B8BBD" w:rsidRPr="1D0E28CF">
        <w:rPr>
          <w:rFonts w:eastAsia="Times New Roman"/>
        </w:rPr>
        <w:t xml:space="preserve"> sesenta (60) días </w:t>
      </w:r>
      <w:r w:rsidR="0098061F" w:rsidRPr="005C5DC0">
        <w:rPr>
          <w:rFonts w:eastAsia="Times New Roman"/>
          <w:color w:val="EE0000"/>
        </w:rPr>
        <w:t>hábiles</w:t>
      </w:r>
      <w:r w:rsidR="00542005" w:rsidRPr="1D0E28CF">
        <w:rPr>
          <w:rFonts w:eastAsia="Times New Roman"/>
        </w:rPr>
        <w:t>,</w:t>
      </w:r>
      <w:r w:rsidR="507B8BBD" w:rsidRPr="1D0E28CF">
        <w:rPr>
          <w:rFonts w:eastAsia="Times New Roman"/>
        </w:rPr>
        <w:t xml:space="preserve"> contado</w:t>
      </w:r>
      <w:r w:rsidR="00542005" w:rsidRPr="1D0E28CF">
        <w:rPr>
          <w:rFonts w:eastAsia="Times New Roman"/>
        </w:rPr>
        <w:t>s</w:t>
      </w:r>
      <w:r w:rsidR="507B8BBD" w:rsidRPr="1D0E28CF">
        <w:rPr>
          <w:rFonts w:eastAsia="Times New Roman"/>
        </w:rPr>
        <w:t xml:space="preserve"> a partir de la fecha en que fue notificado por la Empresa </w:t>
      </w:r>
      <w:r w:rsidR="507B8BBD" w:rsidRPr="1D0E28CF">
        <w:rPr>
          <w:rFonts w:eastAsia="Times New Roman"/>
          <w:color w:val="EE0000"/>
        </w:rPr>
        <w:t>Distribuidora</w:t>
      </w:r>
      <w:r w:rsidR="0098061F" w:rsidRPr="1D0E28CF">
        <w:rPr>
          <w:rFonts w:eastAsia="Times New Roman"/>
          <w:color w:val="EE0000"/>
        </w:rPr>
        <w:t xml:space="preserve"> para corregir la situación o autorizar la reubicación</w:t>
      </w:r>
      <w:r w:rsidR="507B8BBD" w:rsidRPr="1D0E28CF">
        <w:rPr>
          <w:rFonts w:eastAsia="Times New Roman"/>
          <w:color w:val="EE0000"/>
        </w:rPr>
        <w:t>.</w:t>
      </w:r>
    </w:p>
    <w:p w14:paraId="0EE5B834" w14:textId="26660200" w:rsidR="003C7A87" w:rsidRPr="006E09D7" w:rsidRDefault="0098061F" w:rsidP="00FE1F0C">
      <w:pPr>
        <w:jc w:val="both"/>
        <w:rPr>
          <w:rFonts w:eastAsia="Times New Roman"/>
          <w:color w:val="EE0000"/>
          <w:szCs w:val="24"/>
        </w:rPr>
      </w:pPr>
      <w:r w:rsidRPr="006E09D7">
        <w:rPr>
          <w:rFonts w:eastAsia="Times New Roman"/>
          <w:color w:val="EE0000"/>
          <w:szCs w:val="24"/>
        </w:rPr>
        <w:t xml:space="preserve">Si el cliente no atiende la </w:t>
      </w:r>
      <w:r w:rsidR="00D51B7E" w:rsidRPr="006E09D7">
        <w:rPr>
          <w:rFonts w:eastAsia="Times New Roman"/>
          <w:color w:val="EE0000"/>
          <w:szCs w:val="24"/>
        </w:rPr>
        <w:t xml:space="preserve">notificación, </w:t>
      </w:r>
      <w:r w:rsidR="005C5DC0" w:rsidRPr="006E09D7">
        <w:rPr>
          <w:rFonts w:eastAsia="Times New Roman"/>
          <w:color w:val="EE0000"/>
          <w:szCs w:val="24"/>
        </w:rPr>
        <w:t>la</w:t>
      </w:r>
      <w:r w:rsidR="001A6F5D" w:rsidRPr="006E09D7">
        <w:rPr>
          <w:rFonts w:eastAsia="Times New Roman"/>
          <w:color w:val="EE0000"/>
          <w:szCs w:val="24"/>
        </w:rPr>
        <w:t xml:space="preserve"> empresa </w:t>
      </w:r>
      <w:r w:rsidR="00682B82" w:rsidRPr="006E09D7">
        <w:rPr>
          <w:rFonts w:eastAsia="Times New Roman"/>
          <w:color w:val="EE0000"/>
          <w:szCs w:val="24"/>
        </w:rPr>
        <w:t>podrá</w:t>
      </w:r>
      <w:r w:rsidR="001A6F5D" w:rsidRPr="006E09D7">
        <w:rPr>
          <w:rFonts w:eastAsia="Times New Roman"/>
          <w:color w:val="EE0000"/>
          <w:szCs w:val="24"/>
        </w:rPr>
        <w:t xml:space="preserve"> instalar un medidor nuevo en </w:t>
      </w:r>
      <w:r w:rsidR="00682B82" w:rsidRPr="006E09D7">
        <w:rPr>
          <w:rFonts w:eastAsia="Times New Roman"/>
          <w:color w:val="EE0000"/>
          <w:szCs w:val="24"/>
        </w:rPr>
        <w:t>el punto más cercano de acceso público</w:t>
      </w:r>
      <w:r w:rsidR="00E43E8D">
        <w:rPr>
          <w:rFonts w:eastAsia="Times New Roman"/>
          <w:color w:val="EE0000"/>
          <w:szCs w:val="24"/>
        </w:rPr>
        <w:t>,</w:t>
      </w:r>
      <w:r w:rsidR="0086345A" w:rsidRPr="006E09D7">
        <w:rPr>
          <w:rFonts w:eastAsia="Times New Roman"/>
          <w:color w:val="EE0000"/>
          <w:szCs w:val="24"/>
        </w:rPr>
        <w:t xml:space="preserve"> </w:t>
      </w:r>
      <w:r w:rsidR="00664335" w:rsidRPr="006E09D7">
        <w:rPr>
          <w:rFonts w:eastAsia="Times New Roman"/>
          <w:color w:val="EE0000"/>
          <w:szCs w:val="24"/>
        </w:rPr>
        <w:t xml:space="preserve">dejando constancia escrita, evidencia fotográfica y </w:t>
      </w:r>
      <w:r w:rsidR="00E11B44" w:rsidRPr="006E09D7">
        <w:rPr>
          <w:rFonts w:eastAsia="Times New Roman"/>
          <w:color w:val="EE0000"/>
          <w:szCs w:val="24"/>
        </w:rPr>
        <w:t>trasladando los costos incurridos al cliente</w:t>
      </w:r>
      <w:r w:rsidR="00305714" w:rsidRPr="006E09D7">
        <w:rPr>
          <w:rFonts w:eastAsia="Times New Roman"/>
          <w:color w:val="EE0000"/>
          <w:szCs w:val="24"/>
        </w:rPr>
        <w:t xml:space="preserve"> en su factura por el servicio de electricidad</w:t>
      </w:r>
      <w:r w:rsidR="001A6F5D" w:rsidRPr="006E09D7">
        <w:rPr>
          <w:rFonts w:eastAsia="Times New Roman"/>
          <w:color w:val="EE0000"/>
          <w:szCs w:val="24"/>
        </w:rPr>
        <w:t xml:space="preserve">. </w:t>
      </w:r>
      <w:r w:rsidR="003C7A87" w:rsidRPr="006E09D7">
        <w:rPr>
          <w:rFonts w:eastAsia="Times New Roman"/>
          <w:color w:val="EE0000"/>
          <w:szCs w:val="24"/>
        </w:rPr>
        <w:t>En caso de reincidencia o fraude debidamente comprobado, la empresa podrá instalar medidor prepago o medidor inteligente.</w:t>
      </w:r>
    </w:p>
    <w:p w14:paraId="2AA1F60A" w14:textId="7C5D7432" w:rsidR="001A6F5D" w:rsidRDefault="00D23785" w:rsidP="00FE1F0C">
      <w:pPr>
        <w:jc w:val="both"/>
        <w:rPr>
          <w:rFonts w:eastAsia="Times New Roman"/>
          <w:color w:val="FF0000"/>
          <w:szCs w:val="24"/>
        </w:rPr>
      </w:pPr>
      <w:r>
        <w:rPr>
          <w:rFonts w:eastAsia="Times New Roman"/>
          <w:color w:val="EE0000"/>
          <w:szCs w:val="24"/>
        </w:rPr>
        <w:t>La empresa presentar</w:t>
      </w:r>
      <w:r w:rsidR="00FA4E19">
        <w:rPr>
          <w:rFonts w:eastAsia="Times New Roman"/>
          <w:color w:val="EE0000"/>
          <w:szCs w:val="24"/>
        </w:rPr>
        <w:t>á</w:t>
      </w:r>
      <w:r w:rsidR="001A6F5D" w:rsidRPr="00017066">
        <w:rPr>
          <w:rFonts w:eastAsia="Times New Roman"/>
          <w:color w:val="EE0000"/>
          <w:szCs w:val="24"/>
        </w:rPr>
        <w:t xml:space="preserve"> mensualmente a la ASEP todas las instalaciones realizadas por este concepto</w:t>
      </w:r>
      <w:r w:rsidR="00305714" w:rsidRPr="00017066">
        <w:rPr>
          <w:rFonts w:eastAsia="Times New Roman"/>
          <w:color w:val="EE0000"/>
          <w:szCs w:val="24"/>
        </w:rPr>
        <w:t>,</w:t>
      </w:r>
      <w:r w:rsidR="001A6F5D" w:rsidRPr="00017066">
        <w:rPr>
          <w:rFonts w:eastAsia="Times New Roman"/>
          <w:color w:val="EE0000"/>
          <w:szCs w:val="24"/>
        </w:rPr>
        <w:t xml:space="preserve"> debidamente respaldadas por todos los documentos que acrediten las gestiones realizadas</w:t>
      </w:r>
      <w:r w:rsidR="001A6F5D">
        <w:rPr>
          <w:rFonts w:eastAsia="Times New Roman"/>
          <w:color w:val="FF0000"/>
          <w:szCs w:val="24"/>
        </w:rPr>
        <w:t xml:space="preserve">. </w:t>
      </w:r>
    </w:p>
    <w:p w14:paraId="72BB1AF4" w14:textId="77777777" w:rsidR="001A6F5D" w:rsidRPr="00E80555" w:rsidRDefault="001A6F5D" w:rsidP="00FE1F0C">
      <w:pPr>
        <w:jc w:val="both"/>
        <w:rPr>
          <w:szCs w:val="24"/>
        </w:rPr>
      </w:pPr>
    </w:p>
    <w:sectPr w:rsidR="001A6F5D" w:rsidRPr="00E80555" w:rsidSect="00DF231A">
      <w:footerReference w:type="defaul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AEEDC" w14:textId="77777777" w:rsidR="00A52708" w:rsidRDefault="00A52708" w:rsidP="000450F8">
      <w:pPr>
        <w:spacing w:after="0" w:line="240" w:lineRule="auto"/>
      </w:pPr>
      <w:r>
        <w:separator/>
      </w:r>
    </w:p>
  </w:endnote>
  <w:endnote w:type="continuationSeparator" w:id="0">
    <w:p w14:paraId="22B75F83" w14:textId="77777777" w:rsidR="00A52708" w:rsidRDefault="00A52708" w:rsidP="00045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DC7D2" w14:textId="77777777" w:rsidR="00DF231A" w:rsidRDefault="00DF231A" w:rsidP="00DF231A">
    <w:pPr>
      <w:pStyle w:val="Piedepgina"/>
      <w:tabs>
        <w:tab w:val="right" w:pos="13892"/>
      </w:tabs>
      <w:rPr>
        <w:sz w:val="20"/>
        <w:szCs w:val="18"/>
      </w:rPr>
    </w:pPr>
  </w:p>
  <w:p w14:paraId="6B27C344" w14:textId="05069E33" w:rsidR="00DF231A" w:rsidRPr="00B55DCF" w:rsidRDefault="00DF231A" w:rsidP="00DF231A">
    <w:pPr>
      <w:pStyle w:val="Piedepgina"/>
      <w:pBdr>
        <w:top w:val="single" w:sz="4" w:space="1" w:color="auto"/>
      </w:pBdr>
      <w:tabs>
        <w:tab w:val="right" w:pos="13892"/>
      </w:tabs>
      <w:rPr>
        <w:i/>
        <w:iCs/>
        <w:sz w:val="20"/>
        <w:szCs w:val="18"/>
      </w:rPr>
    </w:pPr>
    <w:r w:rsidRPr="00B55DCF">
      <w:rPr>
        <w:i/>
        <w:iCs/>
        <w:sz w:val="20"/>
        <w:szCs w:val="18"/>
      </w:rPr>
      <w:t>Propuesta de Modificación del RDC – Título V</w:t>
    </w:r>
  </w:p>
  <w:p w14:paraId="6F7AEAD5" w14:textId="19F941F1" w:rsidR="00DF231A" w:rsidRPr="00B55DCF" w:rsidRDefault="00DF231A" w:rsidP="00DF231A">
    <w:pPr>
      <w:pStyle w:val="Piedepgina"/>
      <w:tabs>
        <w:tab w:val="right" w:pos="13892"/>
      </w:tabs>
      <w:rPr>
        <w:i/>
        <w:iCs/>
        <w:sz w:val="20"/>
        <w:szCs w:val="18"/>
      </w:rPr>
    </w:pPr>
    <w:r>
      <w:rPr>
        <w:i/>
        <w:iCs/>
        <w:sz w:val="20"/>
        <w:szCs w:val="18"/>
      </w:rPr>
      <w:t>Régimen de Suministro</w:t>
    </w:r>
  </w:p>
  <w:p w14:paraId="763D98A8" w14:textId="40A394CD" w:rsidR="007D64B6" w:rsidRPr="00DF231A" w:rsidRDefault="00DF231A" w:rsidP="00DF231A">
    <w:pPr>
      <w:pStyle w:val="Piedepgina"/>
      <w:tabs>
        <w:tab w:val="right" w:pos="13892"/>
      </w:tabs>
      <w:rPr>
        <w:i/>
        <w:iCs/>
        <w:color w:val="404040" w:themeColor="text1" w:themeTint="BF"/>
        <w:sz w:val="20"/>
        <w:szCs w:val="18"/>
      </w:rPr>
    </w:pPr>
    <w:r w:rsidRPr="00B55DCF">
      <w:rPr>
        <w:i/>
        <w:iCs/>
        <w:color w:val="404040" w:themeColor="text1" w:themeTint="BF"/>
        <w:sz w:val="20"/>
        <w:szCs w:val="18"/>
      </w:rPr>
      <w:tab/>
    </w:r>
    <w:r w:rsidRPr="00B55DCF">
      <w:rPr>
        <w:i/>
        <w:iCs/>
        <w:sz w:val="20"/>
        <w:szCs w:val="18"/>
      </w:rPr>
      <w:tab/>
    </w:r>
    <w:r w:rsidRPr="00B55DCF">
      <w:rPr>
        <w:i/>
        <w:iCs/>
        <w:color w:val="404040" w:themeColor="text1" w:themeTint="BF"/>
        <w:sz w:val="20"/>
        <w:szCs w:val="18"/>
      </w:rPr>
      <w:t xml:space="preserve">Página </w:t>
    </w:r>
    <w:r w:rsidRPr="00B55DCF">
      <w:rPr>
        <w:i/>
        <w:iCs/>
        <w:color w:val="404040" w:themeColor="text1" w:themeTint="BF"/>
        <w:sz w:val="20"/>
        <w:szCs w:val="18"/>
      </w:rPr>
      <w:fldChar w:fldCharType="begin"/>
    </w:r>
    <w:r w:rsidRPr="00B55DCF">
      <w:rPr>
        <w:i/>
        <w:iCs/>
        <w:color w:val="404040" w:themeColor="text1" w:themeTint="BF"/>
        <w:sz w:val="20"/>
        <w:szCs w:val="18"/>
      </w:rPr>
      <w:instrText xml:space="preserve"> PAGE    \* MERGEFORMAT </w:instrText>
    </w:r>
    <w:r w:rsidRPr="00B55DCF">
      <w:rPr>
        <w:i/>
        <w:iCs/>
        <w:color w:val="404040" w:themeColor="text1" w:themeTint="BF"/>
        <w:sz w:val="20"/>
        <w:szCs w:val="18"/>
      </w:rPr>
      <w:fldChar w:fldCharType="separate"/>
    </w:r>
    <w:r>
      <w:rPr>
        <w:i/>
        <w:iCs/>
        <w:color w:val="404040" w:themeColor="text1" w:themeTint="BF"/>
        <w:sz w:val="20"/>
        <w:szCs w:val="18"/>
      </w:rPr>
      <w:t>2</w:t>
    </w:r>
    <w:r w:rsidRPr="00B55DCF">
      <w:rPr>
        <w:i/>
        <w:iCs/>
        <w:color w:val="404040" w:themeColor="text1" w:themeTint="BF"/>
        <w:sz w:val="20"/>
        <w:szCs w:val="18"/>
      </w:rPr>
      <w:fldChar w:fldCharType="end"/>
    </w:r>
    <w:r w:rsidRPr="00B55DCF">
      <w:rPr>
        <w:i/>
        <w:iCs/>
        <w:color w:val="404040" w:themeColor="text1" w:themeTint="BF"/>
        <w:sz w:val="20"/>
        <w:szCs w:val="18"/>
      </w:rPr>
      <w:t xml:space="preserve"> de 32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B22A4" w14:textId="77777777" w:rsidR="00A52708" w:rsidRDefault="00A52708" w:rsidP="000450F8">
      <w:pPr>
        <w:spacing w:after="0" w:line="240" w:lineRule="auto"/>
      </w:pPr>
      <w:r>
        <w:separator/>
      </w:r>
    </w:p>
  </w:footnote>
  <w:footnote w:type="continuationSeparator" w:id="0">
    <w:p w14:paraId="29A1BED6" w14:textId="77777777" w:rsidR="00A52708" w:rsidRDefault="00A52708" w:rsidP="000450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0CBF"/>
    <w:multiLevelType w:val="hybridMultilevel"/>
    <w:tmpl w:val="4B02FB38"/>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15:restartNumberingAfterBreak="0">
    <w:nsid w:val="03BF77AF"/>
    <w:multiLevelType w:val="hybridMultilevel"/>
    <w:tmpl w:val="7466E99A"/>
    <w:lvl w:ilvl="0" w:tplc="180A0017">
      <w:start w:val="1"/>
      <w:numFmt w:val="lowerLetter"/>
      <w:lvlText w:val="%1)"/>
      <w:lvlJc w:val="left"/>
      <w:pPr>
        <w:ind w:left="720" w:hanging="360"/>
      </w:pPr>
      <w:rPr>
        <w:rFonts w:hint="default"/>
      </w:r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15:restartNumberingAfterBreak="0">
    <w:nsid w:val="0CDB5436"/>
    <w:multiLevelType w:val="hybridMultilevel"/>
    <w:tmpl w:val="3A9E3F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002253"/>
    <w:multiLevelType w:val="multilevel"/>
    <w:tmpl w:val="180A0027"/>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4" w15:restartNumberingAfterBreak="0">
    <w:nsid w:val="1045542C"/>
    <w:multiLevelType w:val="hybridMultilevel"/>
    <w:tmpl w:val="ED3A8AC8"/>
    <w:lvl w:ilvl="0" w:tplc="180A0017">
      <w:start w:val="1"/>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5" w15:restartNumberingAfterBreak="0">
    <w:nsid w:val="287D7E20"/>
    <w:multiLevelType w:val="hybridMultilevel"/>
    <w:tmpl w:val="7B480C50"/>
    <w:lvl w:ilvl="0" w:tplc="C2DE7A94">
      <w:start w:val="1"/>
      <w:numFmt w:val="lowerRoman"/>
      <w:lvlText w:val="(%1)"/>
      <w:lvlJc w:val="left"/>
      <w:pPr>
        <w:ind w:left="1440" w:hanging="720"/>
      </w:pPr>
      <w:rPr>
        <w:rFonts w:hint="default"/>
        <w:color w:val="auto"/>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6" w15:restartNumberingAfterBreak="0">
    <w:nsid w:val="2AA36929"/>
    <w:multiLevelType w:val="hybridMultilevel"/>
    <w:tmpl w:val="3A9E3F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C445CAA"/>
    <w:multiLevelType w:val="hybridMultilevel"/>
    <w:tmpl w:val="823E0E5A"/>
    <w:lvl w:ilvl="0" w:tplc="180A0001">
      <w:start w:val="1"/>
      <w:numFmt w:val="bullet"/>
      <w:lvlText w:val=""/>
      <w:lvlJc w:val="left"/>
      <w:pPr>
        <w:ind w:left="2214" w:hanging="360"/>
      </w:pPr>
      <w:rPr>
        <w:rFonts w:ascii="Symbol" w:hAnsi="Symbol" w:hint="default"/>
      </w:rPr>
    </w:lvl>
    <w:lvl w:ilvl="1" w:tplc="180A0003" w:tentative="1">
      <w:start w:val="1"/>
      <w:numFmt w:val="bullet"/>
      <w:lvlText w:val="o"/>
      <w:lvlJc w:val="left"/>
      <w:pPr>
        <w:ind w:left="2934" w:hanging="360"/>
      </w:pPr>
      <w:rPr>
        <w:rFonts w:ascii="Courier New" w:hAnsi="Courier New" w:cs="Courier New" w:hint="default"/>
      </w:rPr>
    </w:lvl>
    <w:lvl w:ilvl="2" w:tplc="180A0005" w:tentative="1">
      <w:start w:val="1"/>
      <w:numFmt w:val="bullet"/>
      <w:lvlText w:val=""/>
      <w:lvlJc w:val="left"/>
      <w:pPr>
        <w:ind w:left="3654" w:hanging="360"/>
      </w:pPr>
      <w:rPr>
        <w:rFonts w:ascii="Wingdings" w:hAnsi="Wingdings" w:hint="default"/>
      </w:rPr>
    </w:lvl>
    <w:lvl w:ilvl="3" w:tplc="180A0001" w:tentative="1">
      <w:start w:val="1"/>
      <w:numFmt w:val="bullet"/>
      <w:lvlText w:val=""/>
      <w:lvlJc w:val="left"/>
      <w:pPr>
        <w:ind w:left="4374" w:hanging="360"/>
      </w:pPr>
      <w:rPr>
        <w:rFonts w:ascii="Symbol" w:hAnsi="Symbol" w:hint="default"/>
      </w:rPr>
    </w:lvl>
    <w:lvl w:ilvl="4" w:tplc="180A0003" w:tentative="1">
      <w:start w:val="1"/>
      <w:numFmt w:val="bullet"/>
      <w:lvlText w:val="o"/>
      <w:lvlJc w:val="left"/>
      <w:pPr>
        <w:ind w:left="5094" w:hanging="360"/>
      </w:pPr>
      <w:rPr>
        <w:rFonts w:ascii="Courier New" w:hAnsi="Courier New" w:cs="Courier New" w:hint="default"/>
      </w:rPr>
    </w:lvl>
    <w:lvl w:ilvl="5" w:tplc="180A0005" w:tentative="1">
      <w:start w:val="1"/>
      <w:numFmt w:val="bullet"/>
      <w:lvlText w:val=""/>
      <w:lvlJc w:val="left"/>
      <w:pPr>
        <w:ind w:left="5814" w:hanging="360"/>
      </w:pPr>
      <w:rPr>
        <w:rFonts w:ascii="Wingdings" w:hAnsi="Wingdings" w:hint="default"/>
      </w:rPr>
    </w:lvl>
    <w:lvl w:ilvl="6" w:tplc="180A0001" w:tentative="1">
      <w:start w:val="1"/>
      <w:numFmt w:val="bullet"/>
      <w:lvlText w:val=""/>
      <w:lvlJc w:val="left"/>
      <w:pPr>
        <w:ind w:left="6534" w:hanging="360"/>
      </w:pPr>
      <w:rPr>
        <w:rFonts w:ascii="Symbol" w:hAnsi="Symbol" w:hint="default"/>
      </w:rPr>
    </w:lvl>
    <w:lvl w:ilvl="7" w:tplc="180A0003" w:tentative="1">
      <w:start w:val="1"/>
      <w:numFmt w:val="bullet"/>
      <w:lvlText w:val="o"/>
      <w:lvlJc w:val="left"/>
      <w:pPr>
        <w:ind w:left="7254" w:hanging="360"/>
      </w:pPr>
      <w:rPr>
        <w:rFonts w:ascii="Courier New" w:hAnsi="Courier New" w:cs="Courier New" w:hint="default"/>
      </w:rPr>
    </w:lvl>
    <w:lvl w:ilvl="8" w:tplc="180A0005" w:tentative="1">
      <w:start w:val="1"/>
      <w:numFmt w:val="bullet"/>
      <w:lvlText w:val=""/>
      <w:lvlJc w:val="left"/>
      <w:pPr>
        <w:ind w:left="7974" w:hanging="360"/>
      </w:pPr>
      <w:rPr>
        <w:rFonts w:ascii="Wingdings" w:hAnsi="Wingdings" w:hint="default"/>
      </w:rPr>
    </w:lvl>
  </w:abstractNum>
  <w:abstractNum w:abstractNumId="8" w15:restartNumberingAfterBreak="0">
    <w:nsid w:val="31C16B0E"/>
    <w:multiLevelType w:val="hybridMultilevel"/>
    <w:tmpl w:val="F3F4753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2F47C4F"/>
    <w:multiLevelType w:val="hybridMultilevel"/>
    <w:tmpl w:val="42A29B0E"/>
    <w:lvl w:ilvl="0" w:tplc="EF58BC76">
      <w:start w:val="1"/>
      <w:numFmt w:val="decimal"/>
      <w:lvlText w:val="%1."/>
      <w:lvlJc w:val="left"/>
      <w:pPr>
        <w:ind w:left="720" w:hanging="360"/>
      </w:pPr>
      <w:rPr>
        <w:rFonts w:hint="default"/>
        <w:b/>
        <w:bCs w:val="0"/>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0" w15:restartNumberingAfterBreak="0">
    <w:nsid w:val="38282157"/>
    <w:multiLevelType w:val="hybridMultilevel"/>
    <w:tmpl w:val="D568B294"/>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1" w15:restartNumberingAfterBreak="0">
    <w:nsid w:val="3A370DCD"/>
    <w:multiLevelType w:val="hybridMultilevel"/>
    <w:tmpl w:val="A28A2094"/>
    <w:lvl w:ilvl="0" w:tplc="0FA2FFCA">
      <w:start w:val="1"/>
      <w:numFmt w:val="decimal"/>
      <w:lvlText w:val="%1."/>
      <w:lvlJc w:val="left"/>
      <w:pPr>
        <w:ind w:left="2496" w:hanging="360"/>
      </w:pPr>
      <w:rPr>
        <w:rFonts w:hint="default"/>
        <w:b w:val="0"/>
        <w:color w:val="000000" w:themeColor="text1"/>
      </w:rPr>
    </w:lvl>
    <w:lvl w:ilvl="1" w:tplc="180A0019" w:tentative="1">
      <w:start w:val="1"/>
      <w:numFmt w:val="lowerLetter"/>
      <w:lvlText w:val="%2."/>
      <w:lvlJc w:val="left"/>
      <w:pPr>
        <w:ind w:left="3216" w:hanging="360"/>
      </w:pPr>
    </w:lvl>
    <w:lvl w:ilvl="2" w:tplc="180A001B" w:tentative="1">
      <w:start w:val="1"/>
      <w:numFmt w:val="lowerRoman"/>
      <w:lvlText w:val="%3."/>
      <w:lvlJc w:val="right"/>
      <w:pPr>
        <w:ind w:left="3936" w:hanging="180"/>
      </w:pPr>
    </w:lvl>
    <w:lvl w:ilvl="3" w:tplc="180A000F" w:tentative="1">
      <w:start w:val="1"/>
      <w:numFmt w:val="decimal"/>
      <w:lvlText w:val="%4."/>
      <w:lvlJc w:val="left"/>
      <w:pPr>
        <w:ind w:left="4656" w:hanging="360"/>
      </w:pPr>
    </w:lvl>
    <w:lvl w:ilvl="4" w:tplc="180A0019" w:tentative="1">
      <w:start w:val="1"/>
      <w:numFmt w:val="lowerLetter"/>
      <w:lvlText w:val="%5."/>
      <w:lvlJc w:val="left"/>
      <w:pPr>
        <w:ind w:left="5376" w:hanging="360"/>
      </w:pPr>
    </w:lvl>
    <w:lvl w:ilvl="5" w:tplc="180A001B" w:tentative="1">
      <w:start w:val="1"/>
      <w:numFmt w:val="lowerRoman"/>
      <w:lvlText w:val="%6."/>
      <w:lvlJc w:val="right"/>
      <w:pPr>
        <w:ind w:left="6096" w:hanging="180"/>
      </w:pPr>
    </w:lvl>
    <w:lvl w:ilvl="6" w:tplc="180A000F" w:tentative="1">
      <w:start w:val="1"/>
      <w:numFmt w:val="decimal"/>
      <w:lvlText w:val="%7."/>
      <w:lvlJc w:val="left"/>
      <w:pPr>
        <w:ind w:left="6816" w:hanging="360"/>
      </w:pPr>
    </w:lvl>
    <w:lvl w:ilvl="7" w:tplc="180A0019" w:tentative="1">
      <w:start w:val="1"/>
      <w:numFmt w:val="lowerLetter"/>
      <w:lvlText w:val="%8."/>
      <w:lvlJc w:val="left"/>
      <w:pPr>
        <w:ind w:left="7536" w:hanging="360"/>
      </w:pPr>
    </w:lvl>
    <w:lvl w:ilvl="8" w:tplc="180A001B" w:tentative="1">
      <w:start w:val="1"/>
      <w:numFmt w:val="lowerRoman"/>
      <w:lvlText w:val="%9."/>
      <w:lvlJc w:val="right"/>
      <w:pPr>
        <w:ind w:left="8256" w:hanging="180"/>
      </w:pPr>
    </w:lvl>
  </w:abstractNum>
  <w:abstractNum w:abstractNumId="12" w15:restartNumberingAfterBreak="0">
    <w:nsid w:val="3BF8D982"/>
    <w:multiLevelType w:val="hybridMultilevel"/>
    <w:tmpl w:val="78BEB614"/>
    <w:lvl w:ilvl="0" w:tplc="912CD24E">
      <w:start w:val="1"/>
      <w:numFmt w:val="bullet"/>
      <w:lvlText w:val=""/>
      <w:lvlJc w:val="left"/>
      <w:pPr>
        <w:ind w:left="720" w:hanging="360"/>
      </w:pPr>
      <w:rPr>
        <w:rFonts w:ascii="Symbol" w:hAnsi="Symbol" w:hint="default"/>
      </w:rPr>
    </w:lvl>
    <w:lvl w:ilvl="1" w:tplc="9DE4D47A">
      <w:start w:val="1"/>
      <w:numFmt w:val="bullet"/>
      <w:lvlText w:val="o"/>
      <w:lvlJc w:val="left"/>
      <w:pPr>
        <w:ind w:left="1440" w:hanging="360"/>
      </w:pPr>
      <w:rPr>
        <w:rFonts w:ascii="Courier New" w:hAnsi="Courier New" w:hint="default"/>
      </w:rPr>
    </w:lvl>
    <w:lvl w:ilvl="2" w:tplc="C7349436">
      <w:start w:val="1"/>
      <w:numFmt w:val="bullet"/>
      <w:lvlText w:val=""/>
      <w:lvlJc w:val="left"/>
      <w:pPr>
        <w:ind w:left="2160" w:hanging="360"/>
      </w:pPr>
      <w:rPr>
        <w:rFonts w:ascii="Wingdings" w:hAnsi="Wingdings" w:hint="default"/>
      </w:rPr>
    </w:lvl>
    <w:lvl w:ilvl="3" w:tplc="5AA25EA8">
      <w:start w:val="1"/>
      <w:numFmt w:val="bullet"/>
      <w:lvlText w:val=""/>
      <w:lvlJc w:val="left"/>
      <w:pPr>
        <w:ind w:left="2880" w:hanging="360"/>
      </w:pPr>
      <w:rPr>
        <w:rFonts w:ascii="Symbol" w:hAnsi="Symbol" w:hint="default"/>
      </w:rPr>
    </w:lvl>
    <w:lvl w:ilvl="4" w:tplc="E53820E6">
      <w:start w:val="1"/>
      <w:numFmt w:val="bullet"/>
      <w:lvlText w:val="o"/>
      <w:lvlJc w:val="left"/>
      <w:pPr>
        <w:ind w:left="3600" w:hanging="360"/>
      </w:pPr>
      <w:rPr>
        <w:rFonts w:ascii="Courier New" w:hAnsi="Courier New" w:hint="default"/>
      </w:rPr>
    </w:lvl>
    <w:lvl w:ilvl="5" w:tplc="74AEBDBE">
      <w:start w:val="1"/>
      <w:numFmt w:val="bullet"/>
      <w:lvlText w:val=""/>
      <w:lvlJc w:val="left"/>
      <w:pPr>
        <w:ind w:left="4320" w:hanging="360"/>
      </w:pPr>
      <w:rPr>
        <w:rFonts w:ascii="Wingdings" w:hAnsi="Wingdings" w:hint="default"/>
      </w:rPr>
    </w:lvl>
    <w:lvl w:ilvl="6" w:tplc="B4B61C4E">
      <w:start w:val="1"/>
      <w:numFmt w:val="bullet"/>
      <w:lvlText w:val=""/>
      <w:lvlJc w:val="left"/>
      <w:pPr>
        <w:ind w:left="5040" w:hanging="360"/>
      </w:pPr>
      <w:rPr>
        <w:rFonts w:ascii="Symbol" w:hAnsi="Symbol" w:hint="default"/>
      </w:rPr>
    </w:lvl>
    <w:lvl w:ilvl="7" w:tplc="5E704356">
      <w:start w:val="1"/>
      <w:numFmt w:val="bullet"/>
      <w:lvlText w:val="o"/>
      <w:lvlJc w:val="left"/>
      <w:pPr>
        <w:ind w:left="5760" w:hanging="360"/>
      </w:pPr>
      <w:rPr>
        <w:rFonts w:ascii="Courier New" w:hAnsi="Courier New" w:hint="default"/>
      </w:rPr>
    </w:lvl>
    <w:lvl w:ilvl="8" w:tplc="A5866DA2">
      <w:start w:val="1"/>
      <w:numFmt w:val="bullet"/>
      <w:lvlText w:val=""/>
      <w:lvlJc w:val="left"/>
      <w:pPr>
        <w:ind w:left="6480" w:hanging="360"/>
      </w:pPr>
      <w:rPr>
        <w:rFonts w:ascii="Wingdings" w:hAnsi="Wingdings" w:hint="default"/>
      </w:rPr>
    </w:lvl>
  </w:abstractNum>
  <w:abstractNum w:abstractNumId="13" w15:restartNumberingAfterBreak="0">
    <w:nsid w:val="47ED17ED"/>
    <w:multiLevelType w:val="hybridMultilevel"/>
    <w:tmpl w:val="4C42FE90"/>
    <w:lvl w:ilvl="0" w:tplc="180A0001">
      <w:start w:val="1"/>
      <w:numFmt w:val="bullet"/>
      <w:lvlText w:val=""/>
      <w:lvlJc w:val="left"/>
      <w:pPr>
        <w:ind w:left="2160" w:hanging="360"/>
      </w:pPr>
      <w:rPr>
        <w:rFonts w:ascii="Symbol" w:hAnsi="Symbol" w:hint="default"/>
      </w:rPr>
    </w:lvl>
    <w:lvl w:ilvl="1" w:tplc="180A0003" w:tentative="1">
      <w:start w:val="1"/>
      <w:numFmt w:val="bullet"/>
      <w:lvlText w:val="o"/>
      <w:lvlJc w:val="left"/>
      <w:pPr>
        <w:ind w:left="2880" w:hanging="360"/>
      </w:pPr>
      <w:rPr>
        <w:rFonts w:ascii="Courier New" w:hAnsi="Courier New" w:cs="Courier New" w:hint="default"/>
      </w:rPr>
    </w:lvl>
    <w:lvl w:ilvl="2" w:tplc="180A0005" w:tentative="1">
      <w:start w:val="1"/>
      <w:numFmt w:val="bullet"/>
      <w:lvlText w:val=""/>
      <w:lvlJc w:val="left"/>
      <w:pPr>
        <w:ind w:left="3600" w:hanging="360"/>
      </w:pPr>
      <w:rPr>
        <w:rFonts w:ascii="Wingdings" w:hAnsi="Wingdings" w:hint="default"/>
      </w:rPr>
    </w:lvl>
    <w:lvl w:ilvl="3" w:tplc="180A0001" w:tentative="1">
      <w:start w:val="1"/>
      <w:numFmt w:val="bullet"/>
      <w:lvlText w:val=""/>
      <w:lvlJc w:val="left"/>
      <w:pPr>
        <w:ind w:left="4320" w:hanging="360"/>
      </w:pPr>
      <w:rPr>
        <w:rFonts w:ascii="Symbol" w:hAnsi="Symbol" w:hint="default"/>
      </w:rPr>
    </w:lvl>
    <w:lvl w:ilvl="4" w:tplc="180A0003" w:tentative="1">
      <w:start w:val="1"/>
      <w:numFmt w:val="bullet"/>
      <w:lvlText w:val="o"/>
      <w:lvlJc w:val="left"/>
      <w:pPr>
        <w:ind w:left="5040" w:hanging="360"/>
      </w:pPr>
      <w:rPr>
        <w:rFonts w:ascii="Courier New" w:hAnsi="Courier New" w:cs="Courier New" w:hint="default"/>
      </w:rPr>
    </w:lvl>
    <w:lvl w:ilvl="5" w:tplc="180A0005" w:tentative="1">
      <w:start w:val="1"/>
      <w:numFmt w:val="bullet"/>
      <w:lvlText w:val=""/>
      <w:lvlJc w:val="left"/>
      <w:pPr>
        <w:ind w:left="5760" w:hanging="360"/>
      </w:pPr>
      <w:rPr>
        <w:rFonts w:ascii="Wingdings" w:hAnsi="Wingdings" w:hint="default"/>
      </w:rPr>
    </w:lvl>
    <w:lvl w:ilvl="6" w:tplc="180A0001" w:tentative="1">
      <w:start w:val="1"/>
      <w:numFmt w:val="bullet"/>
      <w:lvlText w:val=""/>
      <w:lvlJc w:val="left"/>
      <w:pPr>
        <w:ind w:left="6480" w:hanging="360"/>
      </w:pPr>
      <w:rPr>
        <w:rFonts w:ascii="Symbol" w:hAnsi="Symbol" w:hint="default"/>
      </w:rPr>
    </w:lvl>
    <w:lvl w:ilvl="7" w:tplc="180A0003" w:tentative="1">
      <w:start w:val="1"/>
      <w:numFmt w:val="bullet"/>
      <w:lvlText w:val="o"/>
      <w:lvlJc w:val="left"/>
      <w:pPr>
        <w:ind w:left="7200" w:hanging="360"/>
      </w:pPr>
      <w:rPr>
        <w:rFonts w:ascii="Courier New" w:hAnsi="Courier New" w:cs="Courier New" w:hint="default"/>
      </w:rPr>
    </w:lvl>
    <w:lvl w:ilvl="8" w:tplc="180A0005" w:tentative="1">
      <w:start w:val="1"/>
      <w:numFmt w:val="bullet"/>
      <w:lvlText w:val=""/>
      <w:lvlJc w:val="left"/>
      <w:pPr>
        <w:ind w:left="7920" w:hanging="360"/>
      </w:pPr>
      <w:rPr>
        <w:rFonts w:ascii="Wingdings" w:hAnsi="Wingdings" w:hint="default"/>
      </w:rPr>
    </w:lvl>
  </w:abstractNum>
  <w:abstractNum w:abstractNumId="14" w15:restartNumberingAfterBreak="0">
    <w:nsid w:val="4F3A8CC5"/>
    <w:multiLevelType w:val="hybridMultilevel"/>
    <w:tmpl w:val="9FD2ED94"/>
    <w:lvl w:ilvl="0" w:tplc="CC465814">
      <w:start w:val="1"/>
      <w:numFmt w:val="bullet"/>
      <w:lvlText w:val=""/>
      <w:lvlJc w:val="left"/>
      <w:pPr>
        <w:ind w:left="720" w:hanging="360"/>
      </w:pPr>
      <w:rPr>
        <w:rFonts w:ascii="Symbol" w:hAnsi="Symbol" w:hint="default"/>
      </w:rPr>
    </w:lvl>
    <w:lvl w:ilvl="1" w:tplc="7C0086FA">
      <w:start w:val="1"/>
      <w:numFmt w:val="bullet"/>
      <w:lvlText w:val="o"/>
      <w:lvlJc w:val="left"/>
      <w:pPr>
        <w:ind w:left="1440" w:hanging="360"/>
      </w:pPr>
      <w:rPr>
        <w:rFonts w:ascii="Courier New" w:hAnsi="Courier New" w:hint="default"/>
      </w:rPr>
    </w:lvl>
    <w:lvl w:ilvl="2" w:tplc="84C62652">
      <w:start w:val="1"/>
      <w:numFmt w:val="bullet"/>
      <w:lvlText w:val=""/>
      <w:lvlJc w:val="left"/>
      <w:pPr>
        <w:ind w:left="2160" w:hanging="360"/>
      </w:pPr>
      <w:rPr>
        <w:rFonts w:ascii="Wingdings" w:hAnsi="Wingdings" w:hint="default"/>
      </w:rPr>
    </w:lvl>
    <w:lvl w:ilvl="3" w:tplc="9C80739C">
      <w:start w:val="1"/>
      <w:numFmt w:val="bullet"/>
      <w:lvlText w:val=""/>
      <w:lvlJc w:val="left"/>
      <w:pPr>
        <w:ind w:left="2880" w:hanging="360"/>
      </w:pPr>
      <w:rPr>
        <w:rFonts w:ascii="Symbol" w:hAnsi="Symbol" w:hint="default"/>
      </w:rPr>
    </w:lvl>
    <w:lvl w:ilvl="4" w:tplc="87A2F202">
      <w:start w:val="1"/>
      <w:numFmt w:val="bullet"/>
      <w:lvlText w:val="o"/>
      <w:lvlJc w:val="left"/>
      <w:pPr>
        <w:ind w:left="3600" w:hanging="360"/>
      </w:pPr>
      <w:rPr>
        <w:rFonts w:ascii="Courier New" w:hAnsi="Courier New" w:hint="default"/>
      </w:rPr>
    </w:lvl>
    <w:lvl w:ilvl="5" w:tplc="CA5A6AE8">
      <w:start w:val="1"/>
      <w:numFmt w:val="bullet"/>
      <w:lvlText w:val=""/>
      <w:lvlJc w:val="left"/>
      <w:pPr>
        <w:ind w:left="4320" w:hanging="360"/>
      </w:pPr>
      <w:rPr>
        <w:rFonts w:ascii="Wingdings" w:hAnsi="Wingdings" w:hint="default"/>
      </w:rPr>
    </w:lvl>
    <w:lvl w:ilvl="6" w:tplc="E8A6E52E">
      <w:start w:val="1"/>
      <w:numFmt w:val="bullet"/>
      <w:lvlText w:val=""/>
      <w:lvlJc w:val="left"/>
      <w:pPr>
        <w:ind w:left="5040" w:hanging="360"/>
      </w:pPr>
      <w:rPr>
        <w:rFonts w:ascii="Symbol" w:hAnsi="Symbol" w:hint="default"/>
      </w:rPr>
    </w:lvl>
    <w:lvl w:ilvl="7" w:tplc="DAB86E42">
      <w:start w:val="1"/>
      <w:numFmt w:val="bullet"/>
      <w:lvlText w:val="o"/>
      <w:lvlJc w:val="left"/>
      <w:pPr>
        <w:ind w:left="5760" w:hanging="360"/>
      </w:pPr>
      <w:rPr>
        <w:rFonts w:ascii="Courier New" w:hAnsi="Courier New" w:hint="default"/>
      </w:rPr>
    </w:lvl>
    <w:lvl w:ilvl="8" w:tplc="5244653A">
      <w:start w:val="1"/>
      <w:numFmt w:val="bullet"/>
      <w:lvlText w:val=""/>
      <w:lvlJc w:val="left"/>
      <w:pPr>
        <w:ind w:left="6480" w:hanging="360"/>
      </w:pPr>
      <w:rPr>
        <w:rFonts w:ascii="Wingdings" w:hAnsi="Wingdings" w:hint="default"/>
      </w:rPr>
    </w:lvl>
  </w:abstractNum>
  <w:abstractNum w:abstractNumId="15" w15:restartNumberingAfterBreak="0">
    <w:nsid w:val="4F7D3945"/>
    <w:multiLevelType w:val="hybridMultilevel"/>
    <w:tmpl w:val="9998D270"/>
    <w:lvl w:ilvl="0" w:tplc="FEF801B2">
      <w:start w:val="1"/>
      <w:numFmt w:val="lowerRoman"/>
      <w:lvlText w:val="(%1)"/>
      <w:lvlJc w:val="left"/>
      <w:pPr>
        <w:ind w:left="1068" w:hanging="360"/>
      </w:pPr>
      <w:rPr>
        <w:rFonts w:hint="default"/>
      </w:rPr>
    </w:lvl>
    <w:lvl w:ilvl="1" w:tplc="180A0019" w:tentative="1">
      <w:start w:val="1"/>
      <w:numFmt w:val="lowerLetter"/>
      <w:lvlText w:val="%2."/>
      <w:lvlJc w:val="left"/>
      <w:pPr>
        <w:ind w:left="1788" w:hanging="360"/>
      </w:pPr>
    </w:lvl>
    <w:lvl w:ilvl="2" w:tplc="180A001B" w:tentative="1">
      <w:start w:val="1"/>
      <w:numFmt w:val="lowerRoman"/>
      <w:lvlText w:val="%3."/>
      <w:lvlJc w:val="right"/>
      <w:pPr>
        <w:ind w:left="2508" w:hanging="180"/>
      </w:pPr>
    </w:lvl>
    <w:lvl w:ilvl="3" w:tplc="180A000F" w:tentative="1">
      <w:start w:val="1"/>
      <w:numFmt w:val="decimal"/>
      <w:lvlText w:val="%4."/>
      <w:lvlJc w:val="left"/>
      <w:pPr>
        <w:ind w:left="3228" w:hanging="360"/>
      </w:pPr>
    </w:lvl>
    <w:lvl w:ilvl="4" w:tplc="180A0019" w:tentative="1">
      <w:start w:val="1"/>
      <w:numFmt w:val="lowerLetter"/>
      <w:lvlText w:val="%5."/>
      <w:lvlJc w:val="left"/>
      <w:pPr>
        <w:ind w:left="3948" w:hanging="360"/>
      </w:pPr>
    </w:lvl>
    <w:lvl w:ilvl="5" w:tplc="180A001B" w:tentative="1">
      <w:start w:val="1"/>
      <w:numFmt w:val="lowerRoman"/>
      <w:lvlText w:val="%6."/>
      <w:lvlJc w:val="right"/>
      <w:pPr>
        <w:ind w:left="4668" w:hanging="180"/>
      </w:pPr>
    </w:lvl>
    <w:lvl w:ilvl="6" w:tplc="180A000F" w:tentative="1">
      <w:start w:val="1"/>
      <w:numFmt w:val="decimal"/>
      <w:lvlText w:val="%7."/>
      <w:lvlJc w:val="left"/>
      <w:pPr>
        <w:ind w:left="5388" w:hanging="360"/>
      </w:pPr>
    </w:lvl>
    <w:lvl w:ilvl="7" w:tplc="180A0019" w:tentative="1">
      <w:start w:val="1"/>
      <w:numFmt w:val="lowerLetter"/>
      <w:lvlText w:val="%8."/>
      <w:lvlJc w:val="left"/>
      <w:pPr>
        <w:ind w:left="6108" w:hanging="360"/>
      </w:pPr>
    </w:lvl>
    <w:lvl w:ilvl="8" w:tplc="180A001B" w:tentative="1">
      <w:start w:val="1"/>
      <w:numFmt w:val="lowerRoman"/>
      <w:lvlText w:val="%9."/>
      <w:lvlJc w:val="right"/>
      <w:pPr>
        <w:ind w:left="6828" w:hanging="180"/>
      </w:pPr>
    </w:lvl>
  </w:abstractNum>
  <w:abstractNum w:abstractNumId="16" w15:restartNumberingAfterBreak="0">
    <w:nsid w:val="4FE70C8D"/>
    <w:multiLevelType w:val="hybridMultilevel"/>
    <w:tmpl w:val="086C8634"/>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66C2827"/>
    <w:multiLevelType w:val="hybridMultilevel"/>
    <w:tmpl w:val="5AD64188"/>
    <w:lvl w:ilvl="0" w:tplc="180A0017">
      <w:start w:val="1"/>
      <w:numFmt w:val="lowerLetter"/>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8" w15:restartNumberingAfterBreak="0">
    <w:nsid w:val="58DF2A0D"/>
    <w:multiLevelType w:val="hybridMultilevel"/>
    <w:tmpl w:val="1E04CA8A"/>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9" w15:restartNumberingAfterBreak="0">
    <w:nsid w:val="5EE8259B"/>
    <w:multiLevelType w:val="hybridMultilevel"/>
    <w:tmpl w:val="C5D280F6"/>
    <w:lvl w:ilvl="0" w:tplc="180A0017">
      <w:start w:val="1"/>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0" w15:restartNumberingAfterBreak="0">
    <w:nsid w:val="65FF3384"/>
    <w:multiLevelType w:val="hybridMultilevel"/>
    <w:tmpl w:val="6F5C8AF6"/>
    <w:lvl w:ilvl="0" w:tplc="D1BEDC14">
      <w:start w:val="1"/>
      <w:numFmt w:val="upp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1" w15:restartNumberingAfterBreak="0">
    <w:nsid w:val="667277BC"/>
    <w:multiLevelType w:val="singleLevel"/>
    <w:tmpl w:val="0F00BE48"/>
    <w:lvl w:ilvl="0">
      <w:start w:val="1"/>
      <w:numFmt w:val="none"/>
      <w:pStyle w:val="Respuesta"/>
      <w:lvlText w:val="Respuesta: "/>
      <w:lvlJc w:val="left"/>
      <w:pPr>
        <w:tabs>
          <w:tab w:val="num" w:pos="1800"/>
        </w:tabs>
        <w:ind w:left="0" w:firstLine="0"/>
      </w:pPr>
      <w:rPr>
        <w:b/>
        <w:i w:val="0"/>
        <w:u w:val="single"/>
      </w:rPr>
    </w:lvl>
  </w:abstractNum>
  <w:abstractNum w:abstractNumId="22" w15:restartNumberingAfterBreak="0">
    <w:nsid w:val="6AD543AF"/>
    <w:multiLevelType w:val="hybridMultilevel"/>
    <w:tmpl w:val="9998D270"/>
    <w:lvl w:ilvl="0" w:tplc="FFFFFFFF">
      <w:start w:val="1"/>
      <w:numFmt w:val="lowerRoman"/>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3" w15:restartNumberingAfterBreak="0">
    <w:nsid w:val="6B421755"/>
    <w:multiLevelType w:val="hybridMultilevel"/>
    <w:tmpl w:val="24D8D582"/>
    <w:lvl w:ilvl="0" w:tplc="180A0017">
      <w:start w:val="1"/>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4" w15:restartNumberingAfterBreak="0">
    <w:nsid w:val="6B9574E2"/>
    <w:multiLevelType w:val="hybridMultilevel"/>
    <w:tmpl w:val="66B83AAA"/>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BC22FAB"/>
    <w:multiLevelType w:val="hybridMultilevel"/>
    <w:tmpl w:val="4866FF04"/>
    <w:lvl w:ilvl="0" w:tplc="FEF801B2">
      <w:start w:val="1"/>
      <w:numFmt w:val="lowerRoman"/>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FEF801B2">
      <w:start w:val="1"/>
      <w:numFmt w:val="lowerRoman"/>
      <w:lvlText w:val="(%7)"/>
      <w:lvlJc w:val="left"/>
      <w:pPr>
        <w:ind w:left="1080" w:hanging="360"/>
      </w:pPr>
      <w:rPr>
        <w:rFonts w:hint="default"/>
      </w:r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6" w15:restartNumberingAfterBreak="0">
    <w:nsid w:val="703033A5"/>
    <w:multiLevelType w:val="hybridMultilevel"/>
    <w:tmpl w:val="3A9E3F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57A12FD"/>
    <w:multiLevelType w:val="hybridMultilevel"/>
    <w:tmpl w:val="65BEA54A"/>
    <w:lvl w:ilvl="0" w:tplc="FEF801B2">
      <w:start w:val="1"/>
      <w:numFmt w:val="lowerRoman"/>
      <w:lvlText w:val="(%1)"/>
      <w:lvlJc w:val="left"/>
      <w:pPr>
        <w:ind w:left="1440" w:hanging="720"/>
      </w:pPr>
      <w:rPr>
        <w:rFonts w:hint="default"/>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28" w15:restartNumberingAfterBreak="0">
    <w:nsid w:val="786A4AD9"/>
    <w:multiLevelType w:val="hybridMultilevel"/>
    <w:tmpl w:val="42A29B0E"/>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AE1BF95"/>
    <w:multiLevelType w:val="hybridMultilevel"/>
    <w:tmpl w:val="E306E8A4"/>
    <w:lvl w:ilvl="0" w:tplc="654E0172">
      <w:start w:val="1"/>
      <w:numFmt w:val="bullet"/>
      <w:lvlText w:val=""/>
      <w:lvlJc w:val="left"/>
      <w:pPr>
        <w:ind w:left="720" w:hanging="360"/>
      </w:pPr>
      <w:rPr>
        <w:rFonts w:ascii="Symbol" w:hAnsi="Symbol" w:hint="default"/>
      </w:rPr>
    </w:lvl>
    <w:lvl w:ilvl="1" w:tplc="B5E8F74E">
      <w:start w:val="1"/>
      <w:numFmt w:val="bullet"/>
      <w:lvlText w:val="o"/>
      <w:lvlJc w:val="left"/>
      <w:pPr>
        <w:ind w:left="1440" w:hanging="360"/>
      </w:pPr>
      <w:rPr>
        <w:rFonts w:ascii="Courier New" w:hAnsi="Courier New" w:hint="default"/>
      </w:rPr>
    </w:lvl>
    <w:lvl w:ilvl="2" w:tplc="F0BE6492">
      <w:start w:val="1"/>
      <w:numFmt w:val="bullet"/>
      <w:lvlText w:val=""/>
      <w:lvlJc w:val="left"/>
      <w:pPr>
        <w:ind w:left="2160" w:hanging="360"/>
      </w:pPr>
      <w:rPr>
        <w:rFonts w:ascii="Wingdings" w:hAnsi="Wingdings" w:hint="default"/>
      </w:rPr>
    </w:lvl>
    <w:lvl w:ilvl="3" w:tplc="A7304EDC">
      <w:start w:val="1"/>
      <w:numFmt w:val="bullet"/>
      <w:lvlText w:val=""/>
      <w:lvlJc w:val="left"/>
      <w:pPr>
        <w:ind w:left="2880" w:hanging="360"/>
      </w:pPr>
      <w:rPr>
        <w:rFonts w:ascii="Symbol" w:hAnsi="Symbol" w:hint="default"/>
      </w:rPr>
    </w:lvl>
    <w:lvl w:ilvl="4" w:tplc="D1309524">
      <w:start w:val="1"/>
      <w:numFmt w:val="bullet"/>
      <w:lvlText w:val="o"/>
      <w:lvlJc w:val="left"/>
      <w:pPr>
        <w:ind w:left="3600" w:hanging="360"/>
      </w:pPr>
      <w:rPr>
        <w:rFonts w:ascii="Courier New" w:hAnsi="Courier New" w:hint="default"/>
      </w:rPr>
    </w:lvl>
    <w:lvl w:ilvl="5" w:tplc="0930E616">
      <w:start w:val="1"/>
      <w:numFmt w:val="bullet"/>
      <w:lvlText w:val=""/>
      <w:lvlJc w:val="left"/>
      <w:pPr>
        <w:ind w:left="4320" w:hanging="360"/>
      </w:pPr>
      <w:rPr>
        <w:rFonts w:ascii="Wingdings" w:hAnsi="Wingdings" w:hint="default"/>
      </w:rPr>
    </w:lvl>
    <w:lvl w:ilvl="6" w:tplc="7DFA7C4A">
      <w:start w:val="1"/>
      <w:numFmt w:val="bullet"/>
      <w:lvlText w:val=""/>
      <w:lvlJc w:val="left"/>
      <w:pPr>
        <w:ind w:left="5040" w:hanging="360"/>
      </w:pPr>
      <w:rPr>
        <w:rFonts w:ascii="Symbol" w:hAnsi="Symbol" w:hint="default"/>
      </w:rPr>
    </w:lvl>
    <w:lvl w:ilvl="7" w:tplc="B3FA1B6E">
      <w:start w:val="1"/>
      <w:numFmt w:val="bullet"/>
      <w:lvlText w:val="o"/>
      <w:lvlJc w:val="left"/>
      <w:pPr>
        <w:ind w:left="5760" w:hanging="360"/>
      </w:pPr>
      <w:rPr>
        <w:rFonts w:ascii="Courier New" w:hAnsi="Courier New" w:hint="default"/>
      </w:rPr>
    </w:lvl>
    <w:lvl w:ilvl="8" w:tplc="B9FA24B4">
      <w:start w:val="1"/>
      <w:numFmt w:val="bullet"/>
      <w:lvlText w:val=""/>
      <w:lvlJc w:val="left"/>
      <w:pPr>
        <w:ind w:left="6480" w:hanging="360"/>
      </w:pPr>
      <w:rPr>
        <w:rFonts w:ascii="Wingdings" w:hAnsi="Wingdings" w:hint="default"/>
      </w:rPr>
    </w:lvl>
  </w:abstractNum>
  <w:abstractNum w:abstractNumId="30" w15:restartNumberingAfterBreak="0">
    <w:nsid w:val="7C621C44"/>
    <w:multiLevelType w:val="hybridMultilevel"/>
    <w:tmpl w:val="7466E99A"/>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99342228">
    <w:abstractNumId w:val="19"/>
  </w:num>
  <w:num w:numId="2" w16cid:durableId="1980761448">
    <w:abstractNumId w:val="27"/>
  </w:num>
  <w:num w:numId="3" w16cid:durableId="1851216847">
    <w:abstractNumId w:val="7"/>
  </w:num>
  <w:num w:numId="4" w16cid:durableId="1204757834">
    <w:abstractNumId w:val="13"/>
  </w:num>
  <w:num w:numId="5" w16cid:durableId="1888685836">
    <w:abstractNumId w:val="23"/>
  </w:num>
  <w:num w:numId="6" w16cid:durableId="1617641159">
    <w:abstractNumId w:val="5"/>
  </w:num>
  <w:num w:numId="7" w16cid:durableId="1539122539">
    <w:abstractNumId w:val="14"/>
  </w:num>
  <w:num w:numId="8" w16cid:durableId="152140102">
    <w:abstractNumId w:val="29"/>
  </w:num>
  <w:num w:numId="9" w16cid:durableId="684795682">
    <w:abstractNumId w:val="12"/>
  </w:num>
  <w:num w:numId="10" w16cid:durableId="1646474834">
    <w:abstractNumId w:val="0"/>
  </w:num>
  <w:num w:numId="11" w16cid:durableId="424036463">
    <w:abstractNumId w:val="10"/>
  </w:num>
  <w:num w:numId="12" w16cid:durableId="763260031">
    <w:abstractNumId w:val="18"/>
  </w:num>
  <w:num w:numId="13" w16cid:durableId="1015031962">
    <w:abstractNumId w:val="3"/>
  </w:num>
  <w:num w:numId="14" w16cid:durableId="1696006369">
    <w:abstractNumId w:val="3"/>
  </w:num>
  <w:num w:numId="15" w16cid:durableId="1830364857">
    <w:abstractNumId w:val="21"/>
  </w:num>
  <w:num w:numId="16" w16cid:durableId="280764657">
    <w:abstractNumId w:val="9"/>
  </w:num>
  <w:num w:numId="17" w16cid:durableId="389037952">
    <w:abstractNumId w:val="11"/>
  </w:num>
  <w:num w:numId="18" w16cid:durableId="551159962">
    <w:abstractNumId w:val="6"/>
  </w:num>
  <w:num w:numId="19" w16cid:durableId="261037353">
    <w:abstractNumId w:val="26"/>
  </w:num>
  <w:num w:numId="20" w16cid:durableId="1498575443">
    <w:abstractNumId w:val="2"/>
  </w:num>
  <w:num w:numId="21" w16cid:durableId="1698191428">
    <w:abstractNumId w:val="20"/>
  </w:num>
  <w:num w:numId="22" w16cid:durableId="1121342263">
    <w:abstractNumId w:val="4"/>
  </w:num>
  <w:num w:numId="23" w16cid:durableId="983658368">
    <w:abstractNumId w:val="17"/>
  </w:num>
  <w:num w:numId="24" w16cid:durableId="268045729">
    <w:abstractNumId w:val="1"/>
  </w:num>
  <w:num w:numId="25" w16cid:durableId="268511033">
    <w:abstractNumId w:val="25"/>
  </w:num>
  <w:num w:numId="26" w16cid:durableId="1262299437">
    <w:abstractNumId w:val="15"/>
  </w:num>
  <w:num w:numId="27" w16cid:durableId="1160928060">
    <w:abstractNumId w:val="8"/>
  </w:num>
  <w:num w:numId="28" w16cid:durableId="943074517">
    <w:abstractNumId w:val="28"/>
  </w:num>
  <w:num w:numId="29" w16cid:durableId="150409320">
    <w:abstractNumId w:val="30"/>
  </w:num>
  <w:num w:numId="30" w16cid:durableId="1143307395">
    <w:abstractNumId w:val="22"/>
  </w:num>
  <w:num w:numId="31" w16cid:durableId="1085568287">
    <w:abstractNumId w:val="24"/>
  </w:num>
  <w:num w:numId="32" w16cid:durableId="6302862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B89"/>
    <w:rsid w:val="00000FE9"/>
    <w:rsid w:val="00003964"/>
    <w:rsid w:val="000104C2"/>
    <w:rsid w:val="00010540"/>
    <w:rsid w:val="00011BD6"/>
    <w:rsid w:val="00015191"/>
    <w:rsid w:val="00017066"/>
    <w:rsid w:val="00017096"/>
    <w:rsid w:val="00020683"/>
    <w:rsid w:val="0002429E"/>
    <w:rsid w:val="00025941"/>
    <w:rsid w:val="00027EFF"/>
    <w:rsid w:val="00030E4A"/>
    <w:rsid w:val="00031413"/>
    <w:rsid w:val="000314B8"/>
    <w:rsid w:val="0003275B"/>
    <w:rsid w:val="0003339F"/>
    <w:rsid w:val="000342D8"/>
    <w:rsid w:val="00043DB9"/>
    <w:rsid w:val="00043F6B"/>
    <w:rsid w:val="000450F8"/>
    <w:rsid w:val="00050577"/>
    <w:rsid w:val="0005107B"/>
    <w:rsid w:val="00054684"/>
    <w:rsid w:val="000548CB"/>
    <w:rsid w:val="000552E8"/>
    <w:rsid w:val="0005532A"/>
    <w:rsid w:val="0005537D"/>
    <w:rsid w:val="000558C6"/>
    <w:rsid w:val="00055C2A"/>
    <w:rsid w:val="000568B6"/>
    <w:rsid w:val="00066E82"/>
    <w:rsid w:val="00074F06"/>
    <w:rsid w:val="0007701F"/>
    <w:rsid w:val="00080CF0"/>
    <w:rsid w:val="000821E9"/>
    <w:rsid w:val="00082F7B"/>
    <w:rsid w:val="00085963"/>
    <w:rsid w:val="00093408"/>
    <w:rsid w:val="00093712"/>
    <w:rsid w:val="00095715"/>
    <w:rsid w:val="000A5CAA"/>
    <w:rsid w:val="000B219B"/>
    <w:rsid w:val="000B2933"/>
    <w:rsid w:val="000B4BE1"/>
    <w:rsid w:val="000B5D49"/>
    <w:rsid w:val="000C1586"/>
    <w:rsid w:val="000C4D22"/>
    <w:rsid w:val="000C5808"/>
    <w:rsid w:val="000C7B43"/>
    <w:rsid w:val="000D04F4"/>
    <w:rsid w:val="000D06EB"/>
    <w:rsid w:val="000D3E7F"/>
    <w:rsid w:val="000D4012"/>
    <w:rsid w:val="000D5E36"/>
    <w:rsid w:val="000D6156"/>
    <w:rsid w:val="000D77A8"/>
    <w:rsid w:val="000E6427"/>
    <w:rsid w:val="000F066B"/>
    <w:rsid w:val="000F32B2"/>
    <w:rsid w:val="000F39BC"/>
    <w:rsid w:val="00100B73"/>
    <w:rsid w:val="00102C9A"/>
    <w:rsid w:val="001035C7"/>
    <w:rsid w:val="001065EA"/>
    <w:rsid w:val="00111E69"/>
    <w:rsid w:val="001147A9"/>
    <w:rsid w:val="001150FC"/>
    <w:rsid w:val="001164E7"/>
    <w:rsid w:val="001276E8"/>
    <w:rsid w:val="00133470"/>
    <w:rsid w:val="0013671D"/>
    <w:rsid w:val="0013752E"/>
    <w:rsid w:val="001426CF"/>
    <w:rsid w:val="00142D99"/>
    <w:rsid w:val="00144A35"/>
    <w:rsid w:val="0014690C"/>
    <w:rsid w:val="00151964"/>
    <w:rsid w:val="00154A43"/>
    <w:rsid w:val="00156475"/>
    <w:rsid w:val="001565E8"/>
    <w:rsid w:val="00156FB3"/>
    <w:rsid w:val="0015768F"/>
    <w:rsid w:val="00161896"/>
    <w:rsid w:val="001629A1"/>
    <w:rsid w:val="001640BE"/>
    <w:rsid w:val="00166CA3"/>
    <w:rsid w:val="00167CB3"/>
    <w:rsid w:val="001710EA"/>
    <w:rsid w:val="00176281"/>
    <w:rsid w:val="00182012"/>
    <w:rsid w:val="00182A22"/>
    <w:rsid w:val="00186A53"/>
    <w:rsid w:val="0019063A"/>
    <w:rsid w:val="0019137E"/>
    <w:rsid w:val="00195107"/>
    <w:rsid w:val="00196431"/>
    <w:rsid w:val="001971D8"/>
    <w:rsid w:val="001A0F5C"/>
    <w:rsid w:val="001A6F5D"/>
    <w:rsid w:val="001B6EA7"/>
    <w:rsid w:val="001B6F3B"/>
    <w:rsid w:val="001C1DB0"/>
    <w:rsid w:val="001C2AFE"/>
    <w:rsid w:val="001C4C4B"/>
    <w:rsid w:val="001C5046"/>
    <w:rsid w:val="001C5AD8"/>
    <w:rsid w:val="001C70AD"/>
    <w:rsid w:val="001D0879"/>
    <w:rsid w:val="001D52D1"/>
    <w:rsid w:val="001D699F"/>
    <w:rsid w:val="001E0DD8"/>
    <w:rsid w:val="001E1BEB"/>
    <w:rsid w:val="001E752B"/>
    <w:rsid w:val="001E7E48"/>
    <w:rsid w:val="001F2E55"/>
    <w:rsid w:val="001F5F71"/>
    <w:rsid w:val="001F6E59"/>
    <w:rsid w:val="001F7D17"/>
    <w:rsid w:val="00200830"/>
    <w:rsid w:val="00200F4B"/>
    <w:rsid w:val="002019C0"/>
    <w:rsid w:val="00204192"/>
    <w:rsid w:val="002046D6"/>
    <w:rsid w:val="0020668E"/>
    <w:rsid w:val="002067AC"/>
    <w:rsid w:val="002068B4"/>
    <w:rsid w:val="00207D70"/>
    <w:rsid w:val="0021118F"/>
    <w:rsid w:val="00215E46"/>
    <w:rsid w:val="00215EC1"/>
    <w:rsid w:val="0021628F"/>
    <w:rsid w:val="00217417"/>
    <w:rsid w:val="00220C02"/>
    <w:rsid w:val="0022491F"/>
    <w:rsid w:val="00225C17"/>
    <w:rsid w:val="002262CC"/>
    <w:rsid w:val="00230B2E"/>
    <w:rsid w:val="00233601"/>
    <w:rsid w:val="00234A88"/>
    <w:rsid w:val="002422D6"/>
    <w:rsid w:val="00242A45"/>
    <w:rsid w:val="0024368B"/>
    <w:rsid w:val="00245662"/>
    <w:rsid w:val="00247E02"/>
    <w:rsid w:val="00252BE9"/>
    <w:rsid w:val="002541D6"/>
    <w:rsid w:val="002555F0"/>
    <w:rsid w:val="00256C5E"/>
    <w:rsid w:val="002571A2"/>
    <w:rsid w:val="0025725D"/>
    <w:rsid w:val="00257413"/>
    <w:rsid w:val="002600BE"/>
    <w:rsid w:val="002620DA"/>
    <w:rsid w:val="002627F4"/>
    <w:rsid w:val="00264B82"/>
    <w:rsid w:val="00271017"/>
    <w:rsid w:val="00271B1F"/>
    <w:rsid w:val="00275569"/>
    <w:rsid w:val="00275696"/>
    <w:rsid w:val="00276C26"/>
    <w:rsid w:val="002817BC"/>
    <w:rsid w:val="0028212D"/>
    <w:rsid w:val="00284CDB"/>
    <w:rsid w:val="002851F3"/>
    <w:rsid w:val="00286170"/>
    <w:rsid w:val="0028797E"/>
    <w:rsid w:val="0029273E"/>
    <w:rsid w:val="00292D95"/>
    <w:rsid w:val="002934C3"/>
    <w:rsid w:val="0029446E"/>
    <w:rsid w:val="00297890"/>
    <w:rsid w:val="002A38CD"/>
    <w:rsid w:val="002A4912"/>
    <w:rsid w:val="002A7C8E"/>
    <w:rsid w:val="002B36C3"/>
    <w:rsid w:val="002B3E17"/>
    <w:rsid w:val="002B4B68"/>
    <w:rsid w:val="002C44CA"/>
    <w:rsid w:val="002C7C06"/>
    <w:rsid w:val="002D0098"/>
    <w:rsid w:val="002D10FA"/>
    <w:rsid w:val="002D1296"/>
    <w:rsid w:val="002D31F0"/>
    <w:rsid w:val="002D4B9D"/>
    <w:rsid w:val="002D66C1"/>
    <w:rsid w:val="002E40F9"/>
    <w:rsid w:val="002E593C"/>
    <w:rsid w:val="002F10E4"/>
    <w:rsid w:val="002F3E97"/>
    <w:rsid w:val="002F438B"/>
    <w:rsid w:val="002F4671"/>
    <w:rsid w:val="002F4FFC"/>
    <w:rsid w:val="002F5CFC"/>
    <w:rsid w:val="002F6BA5"/>
    <w:rsid w:val="00301851"/>
    <w:rsid w:val="003050E8"/>
    <w:rsid w:val="003052F8"/>
    <w:rsid w:val="0030530E"/>
    <w:rsid w:val="00305714"/>
    <w:rsid w:val="00310994"/>
    <w:rsid w:val="00310C40"/>
    <w:rsid w:val="00310F3E"/>
    <w:rsid w:val="00316EDF"/>
    <w:rsid w:val="003246D5"/>
    <w:rsid w:val="0032539E"/>
    <w:rsid w:val="0032685E"/>
    <w:rsid w:val="00326949"/>
    <w:rsid w:val="00330262"/>
    <w:rsid w:val="00331231"/>
    <w:rsid w:val="003315D1"/>
    <w:rsid w:val="00331F96"/>
    <w:rsid w:val="00332619"/>
    <w:rsid w:val="00333C72"/>
    <w:rsid w:val="00340542"/>
    <w:rsid w:val="00341B16"/>
    <w:rsid w:val="00342100"/>
    <w:rsid w:val="00342611"/>
    <w:rsid w:val="003426EF"/>
    <w:rsid w:val="0035206E"/>
    <w:rsid w:val="00353D9A"/>
    <w:rsid w:val="003545A0"/>
    <w:rsid w:val="00354BF0"/>
    <w:rsid w:val="0035720B"/>
    <w:rsid w:val="00365D2D"/>
    <w:rsid w:val="00367FD5"/>
    <w:rsid w:val="003722DC"/>
    <w:rsid w:val="00377766"/>
    <w:rsid w:val="00381927"/>
    <w:rsid w:val="003822D1"/>
    <w:rsid w:val="00385847"/>
    <w:rsid w:val="00386AF5"/>
    <w:rsid w:val="00391D36"/>
    <w:rsid w:val="003A04C1"/>
    <w:rsid w:val="003A07FA"/>
    <w:rsid w:val="003A180C"/>
    <w:rsid w:val="003B078E"/>
    <w:rsid w:val="003B0AA0"/>
    <w:rsid w:val="003B2111"/>
    <w:rsid w:val="003C0F2A"/>
    <w:rsid w:val="003C2101"/>
    <w:rsid w:val="003C2B6C"/>
    <w:rsid w:val="003C2DEC"/>
    <w:rsid w:val="003C343B"/>
    <w:rsid w:val="003C672A"/>
    <w:rsid w:val="003C679F"/>
    <w:rsid w:val="003C6A60"/>
    <w:rsid w:val="003C7A87"/>
    <w:rsid w:val="003D5606"/>
    <w:rsid w:val="003D5FC2"/>
    <w:rsid w:val="003E1FBA"/>
    <w:rsid w:val="003E4AEC"/>
    <w:rsid w:val="003F4D0A"/>
    <w:rsid w:val="00404B50"/>
    <w:rsid w:val="004052A3"/>
    <w:rsid w:val="00413920"/>
    <w:rsid w:val="00414752"/>
    <w:rsid w:val="00414FBF"/>
    <w:rsid w:val="004217CE"/>
    <w:rsid w:val="00421DB2"/>
    <w:rsid w:val="00422260"/>
    <w:rsid w:val="004269F4"/>
    <w:rsid w:val="00427628"/>
    <w:rsid w:val="00434BC4"/>
    <w:rsid w:val="00435BFE"/>
    <w:rsid w:val="00437962"/>
    <w:rsid w:val="0044124A"/>
    <w:rsid w:val="004422C6"/>
    <w:rsid w:val="004465B8"/>
    <w:rsid w:val="00451418"/>
    <w:rsid w:val="00451E47"/>
    <w:rsid w:val="00452BA0"/>
    <w:rsid w:val="004618BF"/>
    <w:rsid w:val="00462CC8"/>
    <w:rsid w:val="00467810"/>
    <w:rsid w:val="00471360"/>
    <w:rsid w:val="004727B6"/>
    <w:rsid w:val="00475345"/>
    <w:rsid w:val="004765C9"/>
    <w:rsid w:val="004807FA"/>
    <w:rsid w:val="00480AA2"/>
    <w:rsid w:val="00485555"/>
    <w:rsid w:val="00487475"/>
    <w:rsid w:val="00493C8F"/>
    <w:rsid w:val="00495817"/>
    <w:rsid w:val="004A2035"/>
    <w:rsid w:val="004A48B7"/>
    <w:rsid w:val="004A738B"/>
    <w:rsid w:val="004B2589"/>
    <w:rsid w:val="004B2D94"/>
    <w:rsid w:val="004B3E4B"/>
    <w:rsid w:val="004B4206"/>
    <w:rsid w:val="004B5273"/>
    <w:rsid w:val="004B5743"/>
    <w:rsid w:val="004C0E09"/>
    <w:rsid w:val="004C280D"/>
    <w:rsid w:val="004C4095"/>
    <w:rsid w:val="004C5E29"/>
    <w:rsid w:val="004C5E7D"/>
    <w:rsid w:val="004C7898"/>
    <w:rsid w:val="004D3665"/>
    <w:rsid w:val="004D3A3A"/>
    <w:rsid w:val="004D5A84"/>
    <w:rsid w:val="004D5F62"/>
    <w:rsid w:val="004D79EE"/>
    <w:rsid w:val="004E039F"/>
    <w:rsid w:val="004E1975"/>
    <w:rsid w:val="004E4421"/>
    <w:rsid w:val="004E5A0E"/>
    <w:rsid w:val="004E740A"/>
    <w:rsid w:val="004F10B8"/>
    <w:rsid w:val="004F3F35"/>
    <w:rsid w:val="004F4A8A"/>
    <w:rsid w:val="004F57C4"/>
    <w:rsid w:val="004F6108"/>
    <w:rsid w:val="004F6C7B"/>
    <w:rsid w:val="004F7D7B"/>
    <w:rsid w:val="005007E2"/>
    <w:rsid w:val="00501E24"/>
    <w:rsid w:val="00502105"/>
    <w:rsid w:val="00504BC5"/>
    <w:rsid w:val="00504E45"/>
    <w:rsid w:val="00513E4F"/>
    <w:rsid w:val="00515541"/>
    <w:rsid w:val="0051571C"/>
    <w:rsid w:val="0051780A"/>
    <w:rsid w:val="00521592"/>
    <w:rsid w:val="005223B8"/>
    <w:rsid w:val="00522538"/>
    <w:rsid w:val="00527454"/>
    <w:rsid w:val="0053155D"/>
    <w:rsid w:val="005348F1"/>
    <w:rsid w:val="00534B0C"/>
    <w:rsid w:val="00542005"/>
    <w:rsid w:val="00543AA5"/>
    <w:rsid w:val="00545844"/>
    <w:rsid w:val="00550DB4"/>
    <w:rsid w:val="00551E3C"/>
    <w:rsid w:val="00553628"/>
    <w:rsid w:val="00555F78"/>
    <w:rsid w:val="00561CF6"/>
    <w:rsid w:val="00563945"/>
    <w:rsid w:val="005645A9"/>
    <w:rsid w:val="00565F3A"/>
    <w:rsid w:val="00574C0C"/>
    <w:rsid w:val="00574F12"/>
    <w:rsid w:val="00576FE4"/>
    <w:rsid w:val="005770EC"/>
    <w:rsid w:val="005857DF"/>
    <w:rsid w:val="005900FE"/>
    <w:rsid w:val="00591E0E"/>
    <w:rsid w:val="0059277A"/>
    <w:rsid w:val="00592A15"/>
    <w:rsid w:val="00592F0B"/>
    <w:rsid w:val="005A2DF7"/>
    <w:rsid w:val="005A32B7"/>
    <w:rsid w:val="005B22BA"/>
    <w:rsid w:val="005B475F"/>
    <w:rsid w:val="005B4A79"/>
    <w:rsid w:val="005B4F73"/>
    <w:rsid w:val="005B61BE"/>
    <w:rsid w:val="005B6951"/>
    <w:rsid w:val="005C1FEA"/>
    <w:rsid w:val="005C27D8"/>
    <w:rsid w:val="005C32DD"/>
    <w:rsid w:val="005C3DDD"/>
    <w:rsid w:val="005C5DC0"/>
    <w:rsid w:val="005C6B3C"/>
    <w:rsid w:val="005D1588"/>
    <w:rsid w:val="005D4A5F"/>
    <w:rsid w:val="005D560D"/>
    <w:rsid w:val="005D76F5"/>
    <w:rsid w:val="005E0467"/>
    <w:rsid w:val="005E1C94"/>
    <w:rsid w:val="005E7B18"/>
    <w:rsid w:val="005F0632"/>
    <w:rsid w:val="005F290C"/>
    <w:rsid w:val="00601AA7"/>
    <w:rsid w:val="00603C7C"/>
    <w:rsid w:val="006100B2"/>
    <w:rsid w:val="006109C0"/>
    <w:rsid w:val="00611798"/>
    <w:rsid w:val="006156FB"/>
    <w:rsid w:val="006227CE"/>
    <w:rsid w:val="00622EEE"/>
    <w:rsid w:val="00623EE2"/>
    <w:rsid w:val="00625B07"/>
    <w:rsid w:val="00625E94"/>
    <w:rsid w:val="0063140B"/>
    <w:rsid w:val="006340CB"/>
    <w:rsid w:val="00635828"/>
    <w:rsid w:val="00636314"/>
    <w:rsid w:val="00641A89"/>
    <w:rsid w:val="0064268F"/>
    <w:rsid w:val="00644E87"/>
    <w:rsid w:val="006464BA"/>
    <w:rsid w:val="00653A76"/>
    <w:rsid w:val="0065405D"/>
    <w:rsid w:val="006541FD"/>
    <w:rsid w:val="00657AFE"/>
    <w:rsid w:val="006620C7"/>
    <w:rsid w:val="00664335"/>
    <w:rsid w:val="006643C2"/>
    <w:rsid w:val="00665195"/>
    <w:rsid w:val="00666769"/>
    <w:rsid w:val="00675A1C"/>
    <w:rsid w:val="006761ED"/>
    <w:rsid w:val="00681B21"/>
    <w:rsid w:val="006827EE"/>
    <w:rsid w:val="00682B82"/>
    <w:rsid w:val="00684207"/>
    <w:rsid w:val="006848BE"/>
    <w:rsid w:val="006853A0"/>
    <w:rsid w:val="00685A34"/>
    <w:rsid w:val="00685F9C"/>
    <w:rsid w:val="006932FE"/>
    <w:rsid w:val="00694591"/>
    <w:rsid w:val="00697DE6"/>
    <w:rsid w:val="006A0613"/>
    <w:rsid w:val="006A0B49"/>
    <w:rsid w:val="006A0CFB"/>
    <w:rsid w:val="006A2525"/>
    <w:rsid w:val="006A41DB"/>
    <w:rsid w:val="006A5156"/>
    <w:rsid w:val="006A5EAE"/>
    <w:rsid w:val="006B0432"/>
    <w:rsid w:val="006B6790"/>
    <w:rsid w:val="006C2C9A"/>
    <w:rsid w:val="006C3CF8"/>
    <w:rsid w:val="006C4CFD"/>
    <w:rsid w:val="006C73AD"/>
    <w:rsid w:val="006D3A67"/>
    <w:rsid w:val="006E09D7"/>
    <w:rsid w:val="006E4167"/>
    <w:rsid w:val="006E52E6"/>
    <w:rsid w:val="006E5A4D"/>
    <w:rsid w:val="006E61C9"/>
    <w:rsid w:val="006E79DC"/>
    <w:rsid w:val="006F6057"/>
    <w:rsid w:val="006F6B55"/>
    <w:rsid w:val="00701BC7"/>
    <w:rsid w:val="00702CF0"/>
    <w:rsid w:val="00705540"/>
    <w:rsid w:val="00707931"/>
    <w:rsid w:val="007117A6"/>
    <w:rsid w:val="0071532A"/>
    <w:rsid w:val="007155E7"/>
    <w:rsid w:val="00720D4A"/>
    <w:rsid w:val="00723896"/>
    <w:rsid w:val="00726183"/>
    <w:rsid w:val="00727097"/>
    <w:rsid w:val="00741979"/>
    <w:rsid w:val="00741EBA"/>
    <w:rsid w:val="00742952"/>
    <w:rsid w:val="00744EBA"/>
    <w:rsid w:val="0074598A"/>
    <w:rsid w:val="0075314B"/>
    <w:rsid w:val="007544B4"/>
    <w:rsid w:val="007555DA"/>
    <w:rsid w:val="007558E5"/>
    <w:rsid w:val="00755AD6"/>
    <w:rsid w:val="0075655D"/>
    <w:rsid w:val="00761B89"/>
    <w:rsid w:val="007632EB"/>
    <w:rsid w:val="00763500"/>
    <w:rsid w:val="00764DD0"/>
    <w:rsid w:val="007652E9"/>
    <w:rsid w:val="007728B9"/>
    <w:rsid w:val="00775163"/>
    <w:rsid w:val="0077705E"/>
    <w:rsid w:val="00780E78"/>
    <w:rsid w:val="00782A0F"/>
    <w:rsid w:val="00782EAA"/>
    <w:rsid w:val="007831C3"/>
    <w:rsid w:val="007874E7"/>
    <w:rsid w:val="00792C8C"/>
    <w:rsid w:val="00793F1D"/>
    <w:rsid w:val="00794345"/>
    <w:rsid w:val="00796838"/>
    <w:rsid w:val="007A02A3"/>
    <w:rsid w:val="007A073E"/>
    <w:rsid w:val="007A1AA4"/>
    <w:rsid w:val="007A2291"/>
    <w:rsid w:val="007A294D"/>
    <w:rsid w:val="007A2EE5"/>
    <w:rsid w:val="007A3B27"/>
    <w:rsid w:val="007A6564"/>
    <w:rsid w:val="007A72AA"/>
    <w:rsid w:val="007A7AE5"/>
    <w:rsid w:val="007B1809"/>
    <w:rsid w:val="007C096F"/>
    <w:rsid w:val="007C1876"/>
    <w:rsid w:val="007C1D39"/>
    <w:rsid w:val="007C360C"/>
    <w:rsid w:val="007C3B83"/>
    <w:rsid w:val="007C3CD9"/>
    <w:rsid w:val="007D0C4E"/>
    <w:rsid w:val="007D18E7"/>
    <w:rsid w:val="007D1CFB"/>
    <w:rsid w:val="007D4038"/>
    <w:rsid w:val="007D4B0A"/>
    <w:rsid w:val="007D64B6"/>
    <w:rsid w:val="007D6981"/>
    <w:rsid w:val="007E2D23"/>
    <w:rsid w:val="007E6233"/>
    <w:rsid w:val="007F23F2"/>
    <w:rsid w:val="007F3DCD"/>
    <w:rsid w:val="007F4066"/>
    <w:rsid w:val="007F7252"/>
    <w:rsid w:val="00802C16"/>
    <w:rsid w:val="00805315"/>
    <w:rsid w:val="00806A46"/>
    <w:rsid w:val="008133CF"/>
    <w:rsid w:val="00813453"/>
    <w:rsid w:val="0081657C"/>
    <w:rsid w:val="00820326"/>
    <w:rsid w:val="00820E02"/>
    <w:rsid w:val="0082228B"/>
    <w:rsid w:val="008243C4"/>
    <w:rsid w:val="0082486F"/>
    <w:rsid w:val="00826EA8"/>
    <w:rsid w:val="008275C1"/>
    <w:rsid w:val="00827A15"/>
    <w:rsid w:val="0083135D"/>
    <w:rsid w:val="0083256D"/>
    <w:rsid w:val="0083602F"/>
    <w:rsid w:val="00843921"/>
    <w:rsid w:val="00844E70"/>
    <w:rsid w:val="00845DA4"/>
    <w:rsid w:val="00847142"/>
    <w:rsid w:val="008473F4"/>
    <w:rsid w:val="008509A1"/>
    <w:rsid w:val="00851E07"/>
    <w:rsid w:val="008536D6"/>
    <w:rsid w:val="00857CF2"/>
    <w:rsid w:val="00860009"/>
    <w:rsid w:val="00860497"/>
    <w:rsid w:val="0086345A"/>
    <w:rsid w:val="00865CC7"/>
    <w:rsid w:val="00870155"/>
    <w:rsid w:val="008715D6"/>
    <w:rsid w:val="00873611"/>
    <w:rsid w:val="00880952"/>
    <w:rsid w:val="00880B23"/>
    <w:rsid w:val="0088113A"/>
    <w:rsid w:val="00883AAB"/>
    <w:rsid w:val="008852A2"/>
    <w:rsid w:val="00886276"/>
    <w:rsid w:val="0088650B"/>
    <w:rsid w:val="008866F4"/>
    <w:rsid w:val="00892F7F"/>
    <w:rsid w:val="008941FC"/>
    <w:rsid w:val="0089511F"/>
    <w:rsid w:val="00895A99"/>
    <w:rsid w:val="00895D9D"/>
    <w:rsid w:val="008A39F1"/>
    <w:rsid w:val="008A4685"/>
    <w:rsid w:val="008A4842"/>
    <w:rsid w:val="008A4E7F"/>
    <w:rsid w:val="008A6EAC"/>
    <w:rsid w:val="008A748C"/>
    <w:rsid w:val="008B3CF8"/>
    <w:rsid w:val="008B4A86"/>
    <w:rsid w:val="008D01CB"/>
    <w:rsid w:val="008D218D"/>
    <w:rsid w:val="008D367C"/>
    <w:rsid w:val="008D5A3A"/>
    <w:rsid w:val="008E1F43"/>
    <w:rsid w:val="008E26C3"/>
    <w:rsid w:val="008E5F0E"/>
    <w:rsid w:val="008E7962"/>
    <w:rsid w:val="008F0930"/>
    <w:rsid w:val="008F0F63"/>
    <w:rsid w:val="008F417A"/>
    <w:rsid w:val="008F7C66"/>
    <w:rsid w:val="00900CE6"/>
    <w:rsid w:val="009021BA"/>
    <w:rsid w:val="009100B0"/>
    <w:rsid w:val="00911177"/>
    <w:rsid w:val="00913368"/>
    <w:rsid w:val="00920D73"/>
    <w:rsid w:val="009243BD"/>
    <w:rsid w:val="0094634A"/>
    <w:rsid w:val="00946A11"/>
    <w:rsid w:val="00950B60"/>
    <w:rsid w:val="009512C1"/>
    <w:rsid w:val="0095135D"/>
    <w:rsid w:val="00951F9F"/>
    <w:rsid w:val="0095300D"/>
    <w:rsid w:val="00955FCB"/>
    <w:rsid w:val="00957121"/>
    <w:rsid w:val="009574FA"/>
    <w:rsid w:val="00961716"/>
    <w:rsid w:val="00963AB9"/>
    <w:rsid w:val="00964AF7"/>
    <w:rsid w:val="00966F25"/>
    <w:rsid w:val="00972C52"/>
    <w:rsid w:val="00973D79"/>
    <w:rsid w:val="00973EDD"/>
    <w:rsid w:val="00974522"/>
    <w:rsid w:val="00975E35"/>
    <w:rsid w:val="00976B26"/>
    <w:rsid w:val="0098061F"/>
    <w:rsid w:val="009827CC"/>
    <w:rsid w:val="00985CD5"/>
    <w:rsid w:val="0099032B"/>
    <w:rsid w:val="00991F77"/>
    <w:rsid w:val="00994E37"/>
    <w:rsid w:val="00995F55"/>
    <w:rsid w:val="00996140"/>
    <w:rsid w:val="009A00E7"/>
    <w:rsid w:val="009A17E6"/>
    <w:rsid w:val="009A226D"/>
    <w:rsid w:val="009B3D1D"/>
    <w:rsid w:val="009B5D94"/>
    <w:rsid w:val="009B6E70"/>
    <w:rsid w:val="009B74E8"/>
    <w:rsid w:val="009B7E06"/>
    <w:rsid w:val="009C1853"/>
    <w:rsid w:val="009C1CA0"/>
    <w:rsid w:val="009C3604"/>
    <w:rsid w:val="009D0411"/>
    <w:rsid w:val="009D074B"/>
    <w:rsid w:val="009D155F"/>
    <w:rsid w:val="009D2C91"/>
    <w:rsid w:val="009D38FA"/>
    <w:rsid w:val="009D4E86"/>
    <w:rsid w:val="009E16DD"/>
    <w:rsid w:val="009E294E"/>
    <w:rsid w:val="009E482E"/>
    <w:rsid w:val="009E5D34"/>
    <w:rsid w:val="009F4B35"/>
    <w:rsid w:val="009F63AF"/>
    <w:rsid w:val="00A0304D"/>
    <w:rsid w:val="00A070DB"/>
    <w:rsid w:val="00A071B9"/>
    <w:rsid w:val="00A14FE6"/>
    <w:rsid w:val="00A170F9"/>
    <w:rsid w:val="00A172CF"/>
    <w:rsid w:val="00A17D93"/>
    <w:rsid w:val="00A22918"/>
    <w:rsid w:val="00A2388A"/>
    <w:rsid w:val="00A2498C"/>
    <w:rsid w:val="00A2558F"/>
    <w:rsid w:val="00A25C39"/>
    <w:rsid w:val="00A26428"/>
    <w:rsid w:val="00A300BD"/>
    <w:rsid w:val="00A3017D"/>
    <w:rsid w:val="00A30D7C"/>
    <w:rsid w:val="00A325C4"/>
    <w:rsid w:val="00A34E1C"/>
    <w:rsid w:val="00A407E5"/>
    <w:rsid w:val="00A41455"/>
    <w:rsid w:val="00A41E2F"/>
    <w:rsid w:val="00A4405C"/>
    <w:rsid w:val="00A44D89"/>
    <w:rsid w:val="00A44DDC"/>
    <w:rsid w:val="00A46381"/>
    <w:rsid w:val="00A51E4C"/>
    <w:rsid w:val="00A52708"/>
    <w:rsid w:val="00A52F05"/>
    <w:rsid w:val="00A53EA5"/>
    <w:rsid w:val="00A54BAD"/>
    <w:rsid w:val="00A55F57"/>
    <w:rsid w:val="00A56D4F"/>
    <w:rsid w:val="00A61363"/>
    <w:rsid w:val="00A61CE3"/>
    <w:rsid w:val="00A628C9"/>
    <w:rsid w:val="00A6333C"/>
    <w:rsid w:val="00A671CC"/>
    <w:rsid w:val="00A67DFD"/>
    <w:rsid w:val="00A7156A"/>
    <w:rsid w:val="00A731F2"/>
    <w:rsid w:val="00A83958"/>
    <w:rsid w:val="00A84A72"/>
    <w:rsid w:val="00A84D31"/>
    <w:rsid w:val="00A85B2F"/>
    <w:rsid w:val="00A87AA0"/>
    <w:rsid w:val="00A91D9F"/>
    <w:rsid w:val="00A9445B"/>
    <w:rsid w:val="00A94C01"/>
    <w:rsid w:val="00AA06A2"/>
    <w:rsid w:val="00AA5F13"/>
    <w:rsid w:val="00AA66B4"/>
    <w:rsid w:val="00AB0FB4"/>
    <w:rsid w:val="00AB1C58"/>
    <w:rsid w:val="00AB2DFE"/>
    <w:rsid w:val="00AB37CD"/>
    <w:rsid w:val="00AB5257"/>
    <w:rsid w:val="00AB6997"/>
    <w:rsid w:val="00AB6C71"/>
    <w:rsid w:val="00AB7041"/>
    <w:rsid w:val="00AB7582"/>
    <w:rsid w:val="00AC19F9"/>
    <w:rsid w:val="00AC584F"/>
    <w:rsid w:val="00AD2E8C"/>
    <w:rsid w:val="00AD7B0C"/>
    <w:rsid w:val="00AE0406"/>
    <w:rsid w:val="00AE08EC"/>
    <w:rsid w:val="00AE2217"/>
    <w:rsid w:val="00AE460E"/>
    <w:rsid w:val="00AF2A4B"/>
    <w:rsid w:val="00AF3B83"/>
    <w:rsid w:val="00AF46BA"/>
    <w:rsid w:val="00AF4C92"/>
    <w:rsid w:val="00AF5137"/>
    <w:rsid w:val="00B00567"/>
    <w:rsid w:val="00B028ED"/>
    <w:rsid w:val="00B05EB0"/>
    <w:rsid w:val="00B162AA"/>
    <w:rsid w:val="00B17844"/>
    <w:rsid w:val="00B21B50"/>
    <w:rsid w:val="00B23F75"/>
    <w:rsid w:val="00B25B0F"/>
    <w:rsid w:val="00B26D1B"/>
    <w:rsid w:val="00B33161"/>
    <w:rsid w:val="00B36329"/>
    <w:rsid w:val="00B41069"/>
    <w:rsid w:val="00B451E5"/>
    <w:rsid w:val="00B478EF"/>
    <w:rsid w:val="00B51A1F"/>
    <w:rsid w:val="00B52C33"/>
    <w:rsid w:val="00B53A8C"/>
    <w:rsid w:val="00B547E6"/>
    <w:rsid w:val="00B55B5B"/>
    <w:rsid w:val="00B57CAB"/>
    <w:rsid w:val="00B628E3"/>
    <w:rsid w:val="00B63B03"/>
    <w:rsid w:val="00B70E57"/>
    <w:rsid w:val="00B71556"/>
    <w:rsid w:val="00B73199"/>
    <w:rsid w:val="00B735FA"/>
    <w:rsid w:val="00B74D86"/>
    <w:rsid w:val="00B7655E"/>
    <w:rsid w:val="00B80FCF"/>
    <w:rsid w:val="00B872B5"/>
    <w:rsid w:val="00B956A5"/>
    <w:rsid w:val="00B97D54"/>
    <w:rsid w:val="00BA1481"/>
    <w:rsid w:val="00BA4523"/>
    <w:rsid w:val="00BB1026"/>
    <w:rsid w:val="00BB1893"/>
    <w:rsid w:val="00BB206B"/>
    <w:rsid w:val="00BB3EBC"/>
    <w:rsid w:val="00BB48A0"/>
    <w:rsid w:val="00BB4E76"/>
    <w:rsid w:val="00BB5AD3"/>
    <w:rsid w:val="00BB6155"/>
    <w:rsid w:val="00BC1A88"/>
    <w:rsid w:val="00BC6573"/>
    <w:rsid w:val="00BC6AB5"/>
    <w:rsid w:val="00BC7E96"/>
    <w:rsid w:val="00BD157F"/>
    <w:rsid w:val="00BD2433"/>
    <w:rsid w:val="00BD4CAF"/>
    <w:rsid w:val="00BD564E"/>
    <w:rsid w:val="00BD626F"/>
    <w:rsid w:val="00BE00C4"/>
    <w:rsid w:val="00BE1A09"/>
    <w:rsid w:val="00BE2B02"/>
    <w:rsid w:val="00BE4954"/>
    <w:rsid w:val="00BE65FA"/>
    <w:rsid w:val="00BE6D30"/>
    <w:rsid w:val="00BE766F"/>
    <w:rsid w:val="00BE7756"/>
    <w:rsid w:val="00BF160B"/>
    <w:rsid w:val="00BF3B22"/>
    <w:rsid w:val="00BF6F3D"/>
    <w:rsid w:val="00C10957"/>
    <w:rsid w:val="00C1131D"/>
    <w:rsid w:val="00C120D3"/>
    <w:rsid w:val="00C120D9"/>
    <w:rsid w:val="00C12178"/>
    <w:rsid w:val="00C12360"/>
    <w:rsid w:val="00C13217"/>
    <w:rsid w:val="00C133C5"/>
    <w:rsid w:val="00C13CE6"/>
    <w:rsid w:val="00C1608E"/>
    <w:rsid w:val="00C160C8"/>
    <w:rsid w:val="00C161BD"/>
    <w:rsid w:val="00C21CB1"/>
    <w:rsid w:val="00C22572"/>
    <w:rsid w:val="00C23549"/>
    <w:rsid w:val="00C240D7"/>
    <w:rsid w:val="00C30C83"/>
    <w:rsid w:val="00C35600"/>
    <w:rsid w:val="00C36F69"/>
    <w:rsid w:val="00C37BC3"/>
    <w:rsid w:val="00C40551"/>
    <w:rsid w:val="00C40E1C"/>
    <w:rsid w:val="00C466B9"/>
    <w:rsid w:val="00C479AE"/>
    <w:rsid w:val="00C53336"/>
    <w:rsid w:val="00C53A21"/>
    <w:rsid w:val="00C53E23"/>
    <w:rsid w:val="00C57A85"/>
    <w:rsid w:val="00C62C27"/>
    <w:rsid w:val="00C63C18"/>
    <w:rsid w:val="00C643F6"/>
    <w:rsid w:val="00C64763"/>
    <w:rsid w:val="00C72BEB"/>
    <w:rsid w:val="00C73082"/>
    <w:rsid w:val="00C73159"/>
    <w:rsid w:val="00C7618C"/>
    <w:rsid w:val="00C774C9"/>
    <w:rsid w:val="00C80C3C"/>
    <w:rsid w:val="00C8113A"/>
    <w:rsid w:val="00C82518"/>
    <w:rsid w:val="00C905A4"/>
    <w:rsid w:val="00C90A56"/>
    <w:rsid w:val="00C91F40"/>
    <w:rsid w:val="00C945FD"/>
    <w:rsid w:val="00C94E58"/>
    <w:rsid w:val="00C95489"/>
    <w:rsid w:val="00C9694C"/>
    <w:rsid w:val="00CA0413"/>
    <w:rsid w:val="00CA0FB4"/>
    <w:rsid w:val="00CA13FC"/>
    <w:rsid w:val="00CA2480"/>
    <w:rsid w:val="00CA5877"/>
    <w:rsid w:val="00CA6FC5"/>
    <w:rsid w:val="00CA7A68"/>
    <w:rsid w:val="00CB4E8D"/>
    <w:rsid w:val="00CB4F50"/>
    <w:rsid w:val="00CC2CCD"/>
    <w:rsid w:val="00CC30DD"/>
    <w:rsid w:val="00CC3E6B"/>
    <w:rsid w:val="00CC499B"/>
    <w:rsid w:val="00CC6DF3"/>
    <w:rsid w:val="00CC76D1"/>
    <w:rsid w:val="00CD2432"/>
    <w:rsid w:val="00CD3AE7"/>
    <w:rsid w:val="00CD3F3B"/>
    <w:rsid w:val="00CD51B0"/>
    <w:rsid w:val="00CD5476"/>
    <w:rsid w:val="00CD5659"/>
    <w:rsid w:val="00CD775F"/>
    <w:rsid w:val="00CE14E9"/>
    <w:rsid w:val="00CE1611"/>
    <w:rsid w:val="00CE3ADA"/>
    <w:rsid w:val="00CE4997"/>
    <w:rsid w:val="00CE607A"/>
    <w:rsid w:val="00CE615B"/>
    <w:rsid w:val="00CF094F"/>
    <w:rsid w:val="00CF2D7B"/>
    <w:rsid w:val="00CF5B41"/>
    <w:rsid w:val="00CF612B"/>
    <w:rsid w:val="00CF7CD0"/>
    <w:rsid w:val="00D02FA0"/>
    <w:rsid w:val="00D105AB"/>
    <w:rsid w:val="00D15E8A"/>
    <w:rsid w:val="00D16989"/>
    <w:rsid w:val="00D16C41"/>
    <w:rsid w:val="00D1711F"/>
    <w:rsid w:val="00D23785"/>
    <w:rsid w:val="00D23C43"/>
    <w:rsid w:val="00D23E49"/>
    <w:rsid w:val="00D24314"/>
    <w:rsid w:val="00D251B8"/>
    <w:rsid w:val="00D3170E"/>
    <w:rsid w:val="00D36D97"/>
    <w:rsid w:val="00D37644"/>
    <w:rsid w:val="00D40513"/>
    <w:rsid w:val="00D406C5"/>
    <w:rsid w:val="00D41939"/>
    <w:rsid w:val="00D51B7E"/>
    <w:rsid w:val="00D5242A"/>
    <w:rsid w:val="00D52781"/>
    <w:rsid w:val="00D55B8C"/>
    <w:rsid w:val="00D60A87"/>
    <w:rsid w:val="00D654A4"/>
    <w:rsid w:val="00D67F73"/>
    <w:rsid w:val="00D73846"/>
    <w:rsid w:val="00D73F47"/>
    <w:rsid w:val="00D84981"/>
    <w:rsid w:val="00D8603D"/>
    <w:rsid w:val="00D87056"/>
    <w:rsid w:val="00D87710"/>
    <w:rsid w:val="00D9336D"/>
    <w:rsid w:val="00D9466A"/>
    <w:rsid w:val="00D96B90"/>
    <w:rsid w:val="00D97D92"/>
    <w:rsid w:val="00DA3C34"/>
    <w:rsid w:val="00DA79A9"/>
    <w:rsid w:val="00DB306F"/>
    <w:rsid w:val="00DB5DDF"/>
    <w:rsid w:val="00DC0F67"/>
    <w:rsid w:val="00DC19B8"/>
    <w:rsid w:val="00DC2129"/>
    <w:rsid w:val="00DC27A1"/>
    <w:rsid w:val="00DC33ED"/>
    <w:rsid w:val="00DC6FDB"/>
    <w:rsid w:val="00DD15AF"/>
    <w:rsid w:val="00DD4817"/>
    <w:rsid w:val="00DD5539"/>
    <w:rsid w:val="00DE14B7"/>
    <w:rsid w:val="00DE3141"/>
    <w:rsid w:val="00DE5C20"/>
    <w:rsid w:val="00DF097C"/>
    <w:rsid w:val="00DF231A"/>
    <w:rsid w:val="00DF5CA8"/>
    <w:rsid w:val="00DF6DBB"/>
    <w:rsid w:val="00DF70A0"/>
    <w:rsid w:val="00DF7EFC"/>
    <w:rsid w:val="00E0036B"/>
    <w:rsid w:val="00E06459"/>
    <w:rsid w:val="00E07DA4"/>
    <w:rsid w:val="00E11B44"/>
    <w:rsid w:val="00E11DD9"/>
    <w:rsid w:val="00E136C7"/>
    <w:rsid w:val="00E162EE"/>
    <w:rsid w:val="00E1643E"/>
    <w:rsid w:val="00E2301A"/>
    <w:rsid w:val="00E246F7"/>
    <w:rsid w:val="00E253D7"/>
    <w:rsid w:val="00E30109"/>
    <w:rsid w:val="00E34812"/>
    <w:rsid w:val="00E34D0D"/>
    <w:rsid w:val="00E354CE"/>
    <w:rsid w:val="00E4069C"/>
    <w:rsid w:val="00E43E8D"/>
    <w:rsid w:val="00E53919"/>
    <w:rsid w:val="00E569CA"/>
    <w:rsid w:val="00E56BC8"/>
    <w:rsid w:val="00E57292"/>
    <w:rsid w:val="00E63852"/>
    <w:rsid w:val="00E64316"/>
    <w:rsid w:val="00E64654"/>
    <w:rsid w:val="00E751A1"/>
    <w:rsid w:val="00E761EA"/>
    <w:rsid w:val="00E80555"/>
    <w:rsid w:val="00E812C1"/>
    <w:rsid w:val="00E82285"/>
    <w:rsid w:val="00E82A93"/>
    <w:rsid w:val="00E83A86"/>
    <w:rsid w:val="00E83D41"/>
    <w:rsid w:val="00E85D86"/>
    <w:rsid w:val="00E86CA2"/>
    <w:rsid w:val="00E87138"/>
    <w:rsid w:val="00E91D2A"/>
    <w:rsid w:val="00E91DFC"/>
    <w:rsid w:val="00E9457C"/>
    <w:rsid w:val="00E9755B"/>
    <w:rsid w:val="00E97FB4"/>
    <w:rsid w:val="00EA0C92"/>
    <w:rsid w:val="00EA3604"/>
    <w:rsid w:val="00EA4445"/>
    <w:rsid w:val="00EA4CEE"/>
    <w:rsid w:val="00EB040A"/>
    <w:rsid w:val="00EB487D"/>
    <w:rsid w:val="00EB4BDE"/>
    <w:rsid w:val="00EB69EA"/>
    <w:rsid w:val="00EB708E"/>
    <w:rsid w:val="00EC0B04"/>
    <w:rsid w:val="00EC1099"/>
    <w:rsid w:val="00EC3B3C"/>
    <w:rsid w:val="00ED1E01"/>
    <w:rsid w:val="00ED5070"/>
    <w:rsid w:val="00ED52D8"/>
    <w:rsid w:val="00ED6B8C"/>
    <w:rsid w:val="00ED7275"/>
    <w:rsid w:val="00EE0031"/>
    <w:rsid w:val="00EE2B7C"/>
    <w:rsid w:val="00EE4324"/>
    <w:rsid w:val="00F07419"/>
    <w:rsid w:val="00F1164D"/>
    <w:rsid w:val="00F12658"/>
    <w:rsid w:val="00F12D12"/>
    <w:rsid w:val="00F14C47"/>
    <w:rsid w:val="00F21602"/>
    <w:rsid w:val="00F22EC6"/>
    <w:rsid w:val="00F2317E"/>
    <w:rsid w:val="00F27D90"/>
    <w:rsid w:val="00F3195D"/>
    <w:rsid w:val="00F332B1"/>
    <w:rsid w:val="00F34F5C"/>
    <w:rsid w:val="00F36E81"/>
    <w:rsid w:val="00F407DA"/>
    <w:rsid w:val="00F441FA"/>
    <w:rsid w:val="00F475F9"/>
    <w:rsid w:val="00F50E20"/>
    <w:rsid w:val="00F63452"/>
    <w:rsid w:val="00F63B66"/>
    <w:rsid w:val="00F63DE5"/>
    <w:rsid w:val="00F65961"/>
    <w:rsid w:val="00F668E9"/>
    <w:rsid w:val="00F66FA3"/>
    <w:rsid w:val="00F67C00"/>
    <w:rsid w:val="00F74134"/>
    <w:rsid w:val="00F7535B"/>
    <w:rsid w:val="00F7774E"/>
    <w:rsid w:val="00F7799D"/>
    <w:rsid w:val="00F83F20"/>
    <w:rsid w:val="00F909E1"/>
    <w:rsid w:val="00F926AA"/>
    <w:rsid w:val="00F93690"/>
    <w:rsid w:val="00F939A8"/>
    <w:rsid w:val="00F94AA1"/>
    <w:rsid w:val="00F9579B"/>
    <w:rsid w:val="00F978D2"/>
    <w:rsid w:val="00FA4E19"/>
    <w:rsid w:val="00FA541C"/>
    <w:rsid w:val="00FB0573"/>
    <w:rsid w:val="00FB0623"/>
    <w:rsid w:val="00FB5893"/>
    <w:rsid w:val="00FC1E34"/>
    <w:rsid w:val="00FC33C2"/>
    <w:rsid w:val="00FC3C39"/>
    <w:rsid w:val="00FC77FF"/>
    <w:rsid w:val="00FD0A2A"/>
    <w:rsid w:val="00FD4534"/>
    <w:rsid w:val="00FD5257"/>
    <w:rsid w:val="00FE04DA"/>
    <w:rsid w:val="00FE10EE"/>
    <w:rsid w:val="00FE15B7"/>
    <w:rsid w:val="00FE1F0C"/>
    <w:rsid w:val="00FE50F0"/>
    <w:rsid w:val="00FE57EC"/>
    <w:rsid w:val="00FE5BB7"/>
    <w:rsid w:val="00FE6BF0"/>
    <w:rsid w:val="00FF04CD"/>
    <w:rsid w:val="00FF0AFE"/>
    <w:rsid w:val="00FF73FA"/>
    <w:rsid w:val="0112DEE3"/>
    <w:rsid w:val="014583CB"/>
    <w:rsid w:val="01AF4723"/>
    <w:rsid w:val="01C32E05"/>
    <w:rsid w:val="026EB4B1"/>
    <w:rsid w:val="02E485F2"/>
    <w:rsid w:val="036D4940"/>
    <w:rsid w:val="04F1E996"/>
    <w:rsid w:val="051A4ABC"/>
    <w:rsid w:val="051C6FD1"/>
    <w:rsid w:val="05B8880E"/>
    <w:rsid w:val="06162D8E"/>
    <w:rsid w:val="06EA51B1"/>
    <w:rsid w:val="07744504"/>
    <w:rsid w:val="0825EC2C"/>
    <w:rsid w:val="087818AB"/>
    <w:rsid w:val="08CAD389"/>
    <w:rsid w:val="092EB67F"/>
    <w:rsid w:val="09DA263D"/>
    <w:rsid w:val="0AA27EE8"/>
    <w:rsid w:val="0ACA86E0"/>
    <w:rsid w:val="0AF401CE"/>
    <w:rsid w:val="0B6131B3"/>
    <w:rsid w:val="0B8D781D"/>
    <w:rsid w:val="0BDDB186"/>
    <w:rsid w:val="0C4954B3"/>
    <w:rsid w:val="0DA40454"/>
    <w:rsid w:val="0DC399F3"/>
    <w:rsid w:val="0E590D86"/>
    <w:rsid w:val="0E7B5304"/>
    <w:rsid w:val="0E87D3F9"/>
    <w:rsid w:val="0EEA7AD4"/>
    <w:rsid w:val="0F5F6A54"/>
    <w:rsid w:val="0F617693"/>
    <w:rsid w:val="0F946D70"/>
    <w:rsid w:val="1165FD23"/>
    <w:rsid w:val="11762281"/>
    <w:rsid w:val="1194F919"/>
    <w:rsid w:val="11BBE520"/>
    <w:rsid w:val="125F5AB2"/>
    <w:rsid w:val="12B78FE9"/>
    <w:rsid w:val="133CF032"/>
    <w:rsid w:val="13DED95F"/>
    <w:rsid w:val="143576ED"/>
    <w:rsid w:val="15192AF8"/>
    <w:rsid w:val="1558C839"/>
    <w:rsid w:val="167490F4"/>
    <w:rsid w:val="172FBFE5"/>
    <w:rsid w:val="1817D487"/>
    <w:rsid w:val="1968F4E5"/>
    <w:rsid w:val="19E0E730"/>
    <w:rsid w:val="1A66A2A9"/>
    <w:rsid w:val="1B6ABDA2"/>
    <w:rsid w:val="1B729719"/>
    <w:rsid w:val="1C66C6D1"/>
    <w:rsid w:val="1CBFF3EC"/>
    <w:rsid w:val="1D0E28CF"/>
    <w:rsid w:val="1D4984D2"/>
    <w:rsid w:val="1DF830FA"/>
    <w:rsid w:val="1E9F7CF1"/>
    <w:rsid w:val="1FFB7501"/>
    <w:rsid w:val="20707E33"/>
    <w:rsid w:val="208EB663"/>
    <w:rsid w:val="20B87F0C"/>
    <w:rsid w:val="213DA604"/>
    <w:rsid w:val="21800E40"/>
    <w:rsid w:val="220A798E"/>
    <w:rsid w:val="2247E899"/>
    <w:rsid w:val="22F3ACDF"/>
    <w:rsid w:val="231F8E83"/>
    <w:rsid w:val="2337FA9D"/>
    <w:rsid w:val="2387C976"/>
    <w:rsid w:val="23F322D1"/>
    <w:rsid w:val="242BA419"/>
    <w:rsid w:val="24DEA82B"/>
    <w:rsid w:val="24FE4255"/>
    <w:rsid w:val="253F5DAA"/>
    <w:rsid w:val="258F31F3"/>
    <w:rsid w:val="25A8E71F"/>
    <w:rsid w:val="26A15824"/>
    <w:rsid w:val="26D3A9DE"/>
    <w:rsid w:val="26FC1022"/>
    <w:rsid w:val="2785EAE3"/>
    <w:rsid w:val="27C0D056"/>
    <w:rsid w:val="282F2D32"/>
    <w:rsid w:val="2948220E"/>
    <w:rsid w:val="29A9ECA1"/>
    <w:rsid w:val="29E2DEDA"/>
    <w:rsid w:val="2A37C49A"/>
    <w:rsid w:val="2B92DB5B"/>
    <w:rsid w:val="2BA6AD1B"/>
    <w:rsid w:val="2BD8C9B0"/>
    <w:rsid w:val="2BDF852B"/>
    <w:rsid w:val="2BE7A0D2"/>
    <w:rsid w:val="2E539BD7"/>
    <w:rsid w:val="2EEDF9AA"/>
    <w:rsid w:val="2FA516B3"/>
    <w:rsid w:val="3097591B"/>
    <w:rsid w:val="30D95544"/>
    <w:rsid w:val="3140E714"/>
    <w:rsid w:val="315ECF39"/>
    <w:rsid w:val="31FFFC49"/>
    <w:rsid w:val="32613A0C"/>
    <w:rsid w:val="3276CE18"/>
    <w:rsid w:val="345CC0A4"/>
    <w:rsid w:val="36B36007"/>
    <w:rsid w:val="374621DA"/>
    <w:rsid w:val="374F490E"/>
    <w:rsid w:val="37D0F7DD"/>
    <w:rsid w:val="38FE1B22"/>
    <w:rsid w:val="39FFF029"/>
    <w:rsid w:val="3A151C4A"/>
    <w:rsid w:val="3A334CF8"/>
    <w:rsid w:val="3A84E951"/>
    <w:rsid w:val="3AEBAB67"/>
    <w:rsid w:val="3B0E91AF"/>
    <w:rsid w:val="3B90A239"/>
    <w:rsid w:val="3B97C44E"/>
    <w:rsid w:val="3C2C69D9"/>
    <w:rsid w:val="3D1FD710"/>
    <w:rsid w:val="3D607230"/>
    <w:rsid w:val="3D9EB234"/>
    <w:rsid w:val="3E8B8126"/>
    <w:rsid w:val="3EF9A810"/>
    <w:rsid w:val="3F020FB1"/>
    <w:rsid w:val="3F1F13E6"/>
    <w:rsid w:val="3F43FAE0"/>
    <w:rsid w:val="3F711E2F"/>
    <w:rsid w:val="3F9E1449"/>
    <w:rsid w:val="403498F5"/>
    <w:rsid w:val="40C07986"/>
    <w:rsid w:val="40C724F5"/>
    <w:rsid w:val="41AF8007"/>
    <w:rsid w:val="42F2DB3F"/>
    <w:rsid w:val="43281016"/>
    <w:rsid w:val="44812109"/>
    <w:rsid w:val="44D9FC7E"/>
    <w:rsid w:val="4529DA8D"/>
    <w:rsid w:val="454229E5"/>
    <w:rsid w:val="45552C4B"/>
    <w:rsid w:val="457B4C7E"/>
    <w:rsid w:val="4635A935"/>
    <w:rsid w:val="46F0FCAC"/>
    <w:rsid w:val="4734AC85"/>
    <w:rsid w:val="47DF5F17"/>
    <w:rsid w:val="4836A474"/>
    <w:rsid w:val="48DB1A08"/>
    <w:rsid w:val="495D4EDE"/>
    <w:rsid w:val="49871B7A"/>
    <w:rsid w:val="49DA81A1"/>
    <w:rsid w:val="4A36E564"/>
    <w:rsid w:val="4A482163"/>
    <w:rsid w:val="4A52A085"/>
    <w:rsid w:val="4A98D2BC"/>
    <w:rsid w:val="4B267A9F"/>
    <w:rsid w:val="4BFC145F"/>
    <w:rsid w:val="4C8882AE"/>
    <w:rsid w:val="4CC24B00"/>
    <w:rsid w:val="4CFAFF46"/>
    <w:rsid w:val="4D39DC30"/>
    <w:rsid w:val="4E24530F"/>
    <w:rsid w:val="4E635198"/>
    <w:rsid w:val="4E67B667"/>
    <w:rsid w:val="4F44F0F1"/>
    <w:rsid w:val="501640C0"/>
    <w:rsid w:val="5048C718"/>
    <w:rsid w:val="5059BC52"/>
    <w:rsid w:val="507B8BBD"/>
    <w:rsid w:val="50A2DED5"/>
    <w:rsid w:val="52DEF7FF"/>
    <w:rsid w:val="52FA8C54"/>
    <w:rsid w:val="547D8F18"/>
    <w:rsid w:val="55267F05"/>
    <w:rsid w:val="55AAAA19"/>
    <w:rsid w:val="55CB1F85"/>
    <w:rsid w:val="562F64F4"/>
    <w:rsid w:val="58A855A0"/>
    <w:rsid w:val="595AE565"/>
    <w:rsid w:val="596705B6"/>
    <w:rsid w:val="59CB7223"/>
    <w:rsid w:val="5B02D617"/>
    <w:rsid w:val="5B577446"/>
    <w:rsid w:val="5B9A681C"/>
    <w:rsid w:val="5BC61E4B"/>
    <w:rsid w:val="5C0BF209"/>
    <w:rsid w:val="5D2AFAA8"/>
    <w:rsid w:val="5DF5172D"/>
    <w:rsid w:val="5E9C5A60"/>
    <w:rsid w:val="5EAB0A84"/>
    <w:rsid w:val="5EDA9595"/>
    <w:rsid w:val="5F390E8D"/>
    <w:rsid w:val="5F9AF6C3"/>
    <w:rsid w:val="5FDE34C0"/>
    <w:rsid w:val="61797912"/>
    <w:rsid w:val="61A4BA3B"/>
    <w:rsid w:val="625CF1C9"/>
    <w:rsid w:val="63A7CC97"/>
    <w:rsid w:val="63C5818F"/>
    <w:rsid w:val="63D43ADA"/>
    <w:rsid w:val="648C65AC"/>
    <w:rsid w:val="65079723"/>
    <w:rsid w:val="65302967"/>
    <w:rsid w:val="65673AD2"/>
    <w:rsid w:val="6926523C"/>
    <w:rsid w:val="692D7F70"/>
    <w:rsid w:val="6B478821"/>
    <w:rsid w:val="6BC87A57"/>
    <w:rsid w:val="6C006F5E"/>
    <w:rsid w:val="6C3D96D4"/>
    <w:rsid w:val="6CB09777"/>
    <w:rsid w:val="6D4A468B"/>
    <w:rsid w:val="6D82E13A"/>
    <w:rsid w:val="6D9174D1"/>
    <w:rsid w:val="6E278308"/>
    <w:rsid w:val="6E5C55CD"/>
    <w:rsid w:val="6E9D2BF9"/>
    <w:rsid w:val="6EA60814"/>
    <w:rsid w:val="6EE5C905"/>
    <w:rsid w:val="6EE884AE"/>
    <w:rsid w:val="6FE42472"/>
    <w:rsid w:val="7127194E"/>
    <w:rsid w:val="7300825B"/>
    <w:rsid w:val="730555B9"/>
    <w:rsid w:val="7378AA70"/>
    <w:rsid w:val="73A7576C"/>
    <w:rsid w:val="741619DA"/>
    <w:rsid w:val="74E67164"/>
    <w:rsid w:val="75B63A90"/>
    <w:rsid w:val="76A391A6"/>
    <w:rsid w:val="76A86789"/>
    <w:rsid w:val="773E34A4"/>
    <w:rsid w:val="7777FCF6"/>
    <w:rsid w:val="77A6499D"/>
    <w:rsid w:val="78C22B22"/>
    <w:rsid w:val="7936AEC3"/>
    <w:rsid w:val="79744E11"/>
    <w:rsid w:val="797D0D32"/>
    <w:rsid w:val="79876135"/>
    <w:rsid w:val="799A9BFD"/>
    <w:rsid w:val="7A8E54F7"/>
    <w:rsid w:val="7B73E10A"/>
    <w:rsid w:val="7B8BB470"/>
    <w:rsid w:val="7C9F69B3"/>
    <w:rsid w:val="7CD633E4"/>
    <w:rsid w:val="7CFED830"/>
    <w:rsid w:val="7DC14072"/>
    <w:rsid w:val="7F344375"/>
    <w:rsid w:val="7F699A30"/>
    <w:rsid w:val="7FFAFEC6"/>
  </w:rsids>
  <m:mathPr>
    <m:mathFont m:val="Cambria Math"/>
    <m:brkBin m:val="before"/>
    <m:brkBinSub m:val="--"/>
    <m:smallFrac m:val="0"/>
    <m:dispDef/>
    <m:lMargin m:val="0"/>
    <m:rMargin m:val="0"/>
    <m:defJc m:val="centerGroup"/>
    <m:wrapIndent m:val="1440"/>
    <m:intLim m:val="subSup"/>
    <m:naryLim m:val="undOvr"/>
  </m:mathPr>
  <w:themeFontLang w:val="es-P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CE3F2"/>
  <w15:chartTrackingRefBased/>
  <w15:docId w15:val="{20284196-38A0-47F4-9148-D7EF4494E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es-P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7CE"/>
    <w:rPr>
      <w:sz w:val="24"/>
    </w:rPr>
  </w:style>
  <w:style w:type="paragraph" w:styleId="Ttulo1">
    <w:name w:val="heading 1"/>
    <w:basedOn w:val="Normal"/>
    <w:next w:val="Normal"/>
    <w:link w:val="Ttulo1Car"/>
    <w:uiPriority w:val="9"/>
    <w:qFormat/>
    <w:rsid w:val="00BE4954"/>
    <w:pPr>
      <w:keepNext/>
      <w:keepLines/>
      <w:numPr>
        <w:numId w:val="13"/>
      </w:numPr>
      <w:spacing w:before="240" w:after="0"/>
      <w:outlineLvl w:val="0"/>
    </w:pPr>
    <w:rPr>
      <w:rFonts w:eastAsiaTheme="majorEastAsia" w:cstheme="majorBidi"/>
      <w:b/>
      <w:color w:val="2F5496" w:themeColor="accent1" w:themeShade="BF"/>
      <w:szCs w:val="32"/>
    </w:rPr>
  </w:style>
  <w:style w:type="paragraph" w:styleId="Ttulo2">
    <w:name w:val="heading 2"/>
    <w:basedOn w:val="Normal"/>
    <w:next w:val="Normal"/>
    <w:link w:val="Ttulo2Car"/>
    <w:uiPriority w:val="9"/>
    <w:semiHidden/>
    <w:unhideWhenUsed/>
    <w:qFormat/>
    <w:rsid w:val="00A91D9F"/>
    <w:pPr>
      <w:keepNext/>
      <w:keepLines/>
      <w:numPr>
        <w:ilvl w:val="1"/>
        <w:numId w:val="13"/>
      </w:numPr>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A91D9F"/>
    <w:pPr>
      <w:keepNext/>
      <w:keepLines/>
      <w:numPr>
        <w:ilvl w:val="2"/>
        <w:numId w:val="13"/>
      </w:numPr>
      <w:spacing w:before="40" w:after="0"/>
      <w:outlineLvl w:val="2"/>
    </w:pPr>
    <w:rPr>
      <w:rFonts w:asciiTheme="majorHAnsi" w:eastAsiaTheme="majorEastAsia" w:hAnsiTheme="majorHAnsi" w:cstheme="majorBidi"/>
      <w:color w:val="1F3763" w:themeColor="accent1" w:themeShade="7F"/>
      <w:szCs w:val="24"/>
    </w:rPr>
  </w:style>
  <w:style w:type="paragraph" w:styleId="Ttulo4">
    <w:name w:val="heading 4"/>
    <w:basedOn w:val="Normal"/>
    <w:next w:val="Normal"/>
    <w:link w:val="Ttulo4Car"/>
    <w:uiPriority w:val="9"/>
    <w:unhideWhenUsed/>
    <w:qFormat/>
    <w:rsid w:val="00A91D9F"/>
    <w:pPr>
      <w:keepNext/>
      <w:keepLines/>
      <w:numPr>
        <w:ilvl w:val="3"/>
        <w:numId w:val="13"/>
      </w:numPr>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A91D9F"/>
    <w:pPr>
      <w:keepNext/>
      <w:keepLines/>
      <w:numPr>
        <w:ilvl w:val="4"/>
        <w:numId w:val="13"/>
      </w:numPr>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semiHidden/>
    <w:unhideWhenUsed/>
    <w:qFormat/>
    <w:rsid w:val="00A91D9F"/>
    <w:pPr>
      <w:keepNext/>
      <w:keepLines/>
      <w:numPr>
        <w:ilvl w:val="5"/>
        <w:numId w:val="13"/>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A91D9F"/>
    <w:pPr>
      <w:keepNext/>
      <w:keepLines/>
      <w:numPr>
        <w:ilvl w:val="6"/>
        <w:numId w:val="13"/>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A91D9F"/>
    <w:pPr>
      <w:keepNext/>
      <w:keepLines/>
      <w:numPr>
        <w:ilvl w:val="7"/>
        <w:numId w:val="13"/>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A91D9F"/>
    <w:pPr>
      <w:keepNext/>
      <w:keepLines/>
      <w:numPr>
        <w:ilvl w:val="8"/>
        <w:numId w:val="1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5300D"/>
    <w:pPr>
      <w:ind w:left="720"/>
      <w:contextualSpacing/>
    </w:pPr>
  </w:style>
  <w:style w:type="character" w:customStyle="1" w:styleId="Ttulo1Car">
    <w:name w:val="Título 1 Car"/>
    <w:basedOn w:val="Fuentedeprrafopredeter"/>
    <w:link w:val="Ttulo1"/>
    <w:uiPriority w:val="9"/>
    <w:rsid w:val="00BE4954"/>
    <w:rPr>
      <w:rFonts w:eastAsiaTheme="majorEastAsia" w:cstheme="majorBidi"/>
      <w:b/>
      <w:color w:val="2F5496" w:themeColor="accent1" w:themeShade="BF"/>
      <w:sz w:val="24"/>
      <w:szCs w:val="32"/>
    </w:rPr>
  </w:style>
  <w:style w:type="paragraph" w:styleId="Revisin">
    <w:name w:val="Revision"/>
    <w:hidden/>
    <w:uiPriority w:val="99"/>
    <w:semiHidden/>
    <w:rsid w:val="00BD4CAF"/>
    <w:pPr>
      <w:spacing w:after="0" w:line="240" w:lineRule="auto"/>
    </w:pPr>
  </w:style>
  <w:style w:type="character" w:styleId="Refdecomentario">
    <w:name w:val="annotation reference"/>
    <w:basedOn w:val="Fuentedeprrafopredeter"/>
    <w:uiPriority w:val="99"/>
    <w:semiHidden/>
    <w:unhideWhenUsed/>
    <w:rsid w:val="00DF097C"/>
    <w:rPr>
      <w:sz w:val="16"/>
      <w:szCs w:val="16"/>
    </w:rPr>
  </w:style>
  <w:style w:type="paragraph" w:styleId="Textocomentario">
    <w:name w:val="annotation text"/>
    <w:basedOn w:val="Normal"/>
    <w:link w:val="TextocomentarioCar"/>
    <w:uiPriority w:val="99"/>
    <w:unhideWhenUsed/>
    <w:rsid w:val="00DF097C"/>
    <w:pPr>
      <w:spacing w:line="240" w:lineRule="auto"/>
    </w:pPr>
    <w:rPr>
      <w:sz w:val="20"/>
      <w:szCs w:val="20"/>
    </w:rPr>
  </w:style>
  <w:style w:type="character" w:customStyle="1" w:styleId="TextocomentarioCar">
    <w:name w:val="Texto comentario Car"/>
    <w:basedOn w:val="Fuentedeprrafopredeter"/>
    <w:link w:val="Textocomentario"/>
    <w:uiPriority w:val="99"/>
    <w:rsid w:val="00DF097C"/>
    <w:rPr>
      <w:sz w:val="20"/>
      <w:szCs w:val="20"/>
    </w:rPr>
  </w:style>
  <w:style w:type="paragraph" w:styleId="Asuntodelcomentario">
    <w:name w:val="annotation subject"/>
    <w:basedOn w:val="Textocomentario"/>
    <w:next w:val="Textocomentario"/>
    <w:link w:val="AsuntodelcomentarioCar"/>
    <w:uiPriority w:val="99"/>
    <w:semiHidden/>
    <w:unhideWhenUsed/>
    <w:rsid w:val="00DF097C"/>
    <w:rPr>
      <w:b/>
      <w:bCs/>
    </w:rPr>
  </w:style>
  <w:style w:type="character" w:customStyle="1" w:styleId="AsuntodelcomentarioCar">
    <w:name w:val="Asunto del comentario Car"/>
    <w:basedOn w:val="TextocomentarioCar"/>
    <w:link w:val="Asuntodelcomentario"/>
    <w:uiPriority w:val="99"/>
    <w:semiHidden/>
    <w:rsid w:val="00DF097C"/>
    <w:rPr>
      <w:b/>
      <w:bCs/>
      <w:sz w:val="20"/>
      <w:szCs w:val="20"/>
    </w:rPr>
  </w:style>
  <w:style w:type="character" w:customStyle="1" w:styleId="Ttulo2Car">
    <w:name w:val="Título 2 Car"/>
    <w:basedOn w:val="Fuentedeprrafopredeter"/>
    <w:link w:val="Ttulo2"/>
    <w:uiPriority w:val="9"/>
    <w:semiHidden/>
    <w:rsid w:val="00A91D9F"/>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semiHidden/>
    <w:rsid w:val="00A91D9F"/>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A91D9F"/>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semiHidden/>
    <w:rsid w:val="00A91D9F"/>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semiHidden/>
    <w:rsid w:val="00A91D9F"/>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rsid w:val="00A91D9F"/>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uiPriority w:val="9"/>
    <w:semiHidden/>
    <w:rsid w:val="00A91D9F"/>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A91D9F"/>
    <w:rPr>
      <w:rFonts w:asciiTheme="majorHAnsi" w:eastAsiaTheme="majorEastAsia" w:hAnsiTheme="majorHAnsi" w:cstheme="majorBidi"/>
      <w:i/>
      <w:iCs/>
      <w:color w:val="272727" w:themeColor="text1" w:themeTint="D8"/>
      <w:sz w:val="21"/>
      <w:szCs w:val="21"/>
    </w:rPr>
  </w:style>
  <w:style w:type="paragraph" w:customStyle="1" w:styleId="Respuesta">
    <w:name w:val="Respuesta"/>
    <w:basedOn w:val="Normal"/>
    <w:next w:val="Normal"/>
    <w:rsid w:val="00E80555"/>
    <w:pPr>
      <w:numPr>
        <w:numId w:val="15"/>
      </w:numPr>
      <w:tabs>
        <w:tab w:val="clear" w:pos="1800"/>
        <w:tab w:val="num" w:pos="360"/>
      </w:tabs>
      <w:spacing w:after="240" w:line="240" w:lineRule="auto"/>
      <w:jc w:val="both"/>
    </w:pPr>
    <w:rPr>
      <w:rFonts w:ascii="Tahoma" w:eastAsia="Times New Roman" w:hAnsi="Tahoma"/>
      <w:szCs w:val="20"/>
      <w:shd w:val="clear" w:color="auto" w:fill="FFFF00"/>
      <w:lang w:eastAsia="es-ES"/>
    </w:rPr>
  </w:style>
  <w:style w:type="character" w:styleId="Mencionar">
    <w:name w:val="Mention"/>
    <w:basedOn w:val="Fuentedeprrafopredeter"/>
    <w:uiPriority w:val="99"/>
    <w:unhideWhenUsed/>
    <w:rsid w:val="003D5FC2"/>
    <w:rPr>
      <w:color w:val="2B579A"/>
      <w:shd w:val="clear" w:color="auto" w:fill="E1DFDD"/>
    </w:rPr>
  </w:style>
  <w:style w:type="paragraph" w:styleId="Encabezado">
    <w:name w:val="header"/>
    <w:basedOn w:val="Normal"/>
    <w:link w:val="EncabezadoCar"/>
    <w:uiPriority w:val="99"/>
    <w:unhideWhenUsed/>
    <w:rsid w:val="000450F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450F8"/>
    <w:rPr>
      <w:sz w:val="24"/>
    </w:rPr>
  </w:style>
  <w:style w:type="paragraph" w:styleId="Piedepgina">
    <w:name w:val="footer"/>
    <w:basedOn w:val="Normal"/>
    <w:link w:val="PiedepginaCar"/>
    <w:uiPriority w:val="99"/>
    <w:unhideWhenUsed/>
    <w:rsid w:val="000450F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450F8"/>
    <w:rPr>
      <w:sz w:val="24"/>
    </w:rPr>
  </w:style>
  <w:style w:type="character" w:customStyle="1" w:styleId="normaltextrun">
    <w:name w:val="normaltextrun"/>
    <w:basedOn w:val="Fuentedeprrafopredeter"/>
    <w:rsid w:val="008B4A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38551">
      <w:bodyDiv w:val="1"/>
      <w:marLeft w:val="0"/>
      <w:marRight w:val="0"/>
      <w:marTop w:val="0"/>
      <w:marBottom w:val="0"/>
      <w:divBdr>
        <w:top w:val="none" w:sz="0" w:space="0" w:color="auto"/>
        <w:left w:val="none" w:sz="0" w:space="0" w:color="auto"/>
        <w:bottom w:val="none" w:sz="0" w:space="0" w:color="auto"/>
        <w:right w:val="none" w:sz="0" w:space="0" w:color="auto"/>
      </w:divBdr>
    </w:div>
    <w:div w:id="1200631234">
      <w:bodyDiv w:val="1"/>
      <w:marLeft w:val="0"/>
      <w:marRight w:val="0"/>
      <w:marTop w:val="0"/>
      <w:marBottom w:val="0"/>
      <w:divBdr>
        <w:top w:val="none" w:sz="0" w:space="0" w:color="auto"/>
        <w:left w:val="none" w:sz="0" w:space="0" w:color="auto"/>
        <w:bottom w:val="none" w:sz="0" w:space="0" w:color="auto"/>
        <w:right w:val="none" w:sz="0" w:space="0" w:color="auto"/>
      </w:divBdr>
    </w:div>
    <w:div w:id="1275598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1a16770-6a30-4f42-93ee-ac96d3bfee18">
      <Terms xmlns="http://schemas.microsoft.com/office/infopath/2007/PartnerControls"/>
    </lcf76f155ced4ddcb4097134ff3c332f>
    <TaxCatchAll xmlns="1811d846-3048-4a9d-9eef-667303da9e1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0770FB5D60BBF448BBD0B40DA7199AD6" ma:contentTypeVersion="11" ma:contentTypeDescription="Crear nuevo documento." ma:contentTypeScope="" ma:versionID="b0a355ff51b35a715e04c0a9c4f7a312">
  <xsd:schema xmlns:xsd="http://www.w3.org/2001/XMLSchema" xmlns:xs="http://www.w3.org/2001/XMLSchema" xmlns:p="http://schemas.microsoft.com/office/2006/metadata/properties" xmlns:ns2="51a16770-6a30-4f42-93ee-ac96d3bfee18" xmlns:ns3="1811d846-3048-4a9d-9eef-667303da9e14" targetNamespace="http://schemas.microsoft.com/office/2006/metadata/properties" ma:root="true" ma:fieldsID="454b00846b8a24df063f67d852ff3324" ns2:_="" ns3:_="">
    <xsd:import namespace="51a16770-6a30-4f42-93ee-ac96d3bfee18"/>
    <xsd:import namespace="1811d846-3048-4a9d-9eef-667303da9e1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16770-6a30-4f42-93ee-ac96d3bfee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Etiquetas de imagen" ma:readOnly="false" ma:fieldId="{5cf76f15-5ced-4ddc-b409-7134ff3c332f}" ma:taxonomyMulti="true" ma:sspId="a962ede3-39b3-45c6-9f12-db7754d5a30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11d846-3048-4a9d-9eef-667303da9e1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886fddf-d47a-4aee-8ef1-4a5e272e28b0}" ma:internalName="TaxCatchAll" ma:showField="CatchAllData" ma:web="1811d846-3048-4a9d-9eef-667303da9e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042534-3B5B-4FEF-ADC3-7BB45BA8C797}">
  <ds:schemaRefs>
    <ds:schemaRef ds:uri="http://schemas.microsoft.com/office/2006/metadata/properties"/>
    <ds:schemaRef ds:uri="http://schemas.microsoft.com/office/infopath/2007/PartnerControls"/>
    <ds:schemaRef ds:uri="51a16770-6a30-4f42-93ee-ac96d3bfee18"/>
    <ds:schemaRef ds:uri="1811d846-3048-4a9d-9eef-667303da9e14"/>
  </ds:schemaRefs>
</ds:datastoreItem>
</file>

<file path=customXml/itemProps2.xml><?xml version="1.0" encoding="utf-8"?>
<ds:datastoreItem xmlns:ds="http://schemas.openxmlformats.org/officeDocument/2006/customXml" ds:itemID="{4A68D671-AC81-4878-B859-5E3A9E2D6540}">
  <ds:schemaRefs>
    <ds:schemaRef ds:uri="http://schemas.openxmlformats.org/officeDocument/2006/bibliography"/>
  </ds:schemaRefs>
</ds:datastoreItem>
</file>

<file path=customXml/itemProps3.xml><?xml version="1.0" encoding="utf-8"?>
<ds:datastoreItem xmlns:ds="http://schemas.openxmlformats.org/officeDocument/2006/customXml" ds:itemID="{C2EA0987-310C-4206-BC66-F3B087FBE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16770-6a30-4f42-93ee-ac96d3bfee18"/>
    <ds:schemaRef ds:uri="1811d846-3048-4a9d-9eef-667303da9e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F34940-26ED-4B47-A0FB-8A1C6F2A00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7273</Words>
  <Characters>38478</Characters>
  <Application>Microsoft Office Word</Application>
  <DocSecurity>0</DocSecurity>
  <Lines>684</Lines>
  <Paragraphs>229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Luciana Chen</dc:creator>
  <cp:keywords/>
  <dc:description/>
  <cp:lastModifiedBy>Jenny de Da Lorenzo</cp:lastModifiedBy>
  <cp:revision>4</cp:revision>
  <dcterms:created xsi:type="dcterms:W3CDTF">2025-12-18T16:39:00Z</dcterms:created>
  <dcterms:modified xsi:type="dcterms:W3CDTF">2025-12-18T18:11:00Z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0x0101000770FB5D60BBF448BBD0B40DA7199AD6</vt:lpwstr>
  </property>
  <property fmtid="{D5CDD505-2E9C-101B-9397-08002B2CF9AE}" pid="3" name="MediaServiceImageTags">
    <vt:lpwstr/>
  </property>
</Properties>
</file>