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F63B" w14:textId="77777777" w:rsidR="0003275B" w:rsidRPr="00E80555" w:rsidRDefault="0003275B" w:rsidP="0003275B">
      <w:pPr>
        <w:jc w:val="center"/>
        <w:rPr>
          <w:noProof/>
          <w:szCs w:val="24"/>
        </w:rPr>
      </w:pPr>
    </w:p>
    <w:p w14:paraId="5027CA52" w14:textId="77777777" w:rsidR="0003275B" w:rsidRPr="00E80555" w:rsidRDefault="0003275B" w:rsidP="0003275B">
      <w:pPr>
        <w:jc w:val="center"/>
        <w:rPr>
          <w:noProof/>
          <w:szCs w:val="24"/>
        </w:rPr>
      </w:pPr>
    </w:p>
    <w:p w14:paraId="361FC8E8" w14:textId="77777777" w:rsidR="0003275B" w:rsidRPr="00E80555" w:rsidRDefault="0003275B" w:rsidP="0003275B">
      <w:pPr>
        <w:jc w:val="center"/>
        <w:rPr>
          <w:noProof/>
          <w:szCs w:val="24"/>
        </w:rPr>
      </w:pPr>
    </w:p>
    <w:p w14:paraId="6A2A8687" w14:textId="218994D7" w:rsidR="00AD7B0C" w:rsidRPr="00E80555" w:rsidRDefault="0003275B" w:rsidP="0003275B">
      <w:pPr>
        <w:jc w:val="center"/>
        <w:rPr>
          <w:szCs w:val="24"/>
        </w:rPr>
      </w:pPr>
      <w:r w:rsidRPr="00E80555">
        <w:rPr>
          <w:noProof/>
          <w:szCs w:val="24"/>
          <w:lang w:eastAsia="es-PA"/>
        </w:rPr>
        <w:drawing>
          <wp:inline distT="0" distB="0" distL="0" distR="0" wp14:anchorId="2716D4AB" wp14:editId="4EB7A128">
            <wp:extent cx="2094614" cy="817547"/>
            <wp:effectExtent l="0" t="0" r="1270" b="1905"/>
            <wp:docPr id="2" name="Imagen 2" descr="Autoridad Nacional de los Servicios Públicos (ASEP) | Consul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ridad Nacional de los Servicios Públicos (ASEP) | Consulta-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692" b="30277"/>
                    <a:stretch/>
                  </pic:blipFill>
                  <pic:spPr bwMode="auto">
                    <a:xfrm>
                      <a:off x="0" y="0"/>
                      <a:ext cx="2106163" cy="822055"/>
                    </a:xfrm>
                    <a:prstGeom prst="rect">
                      <a:avLst/>
                    </a:prstGeom>
                    <a:noFill/>
                    <a:ln>
                      <a:noFill/>
                    </a:ln>
                    <a:extLst>
                      <a:ext uri="{53640926-AAD7-44D8-BBD7-CCE9431645EC}">
                        <a14:shadowObscured xmlns:a14="http://schemas.microsoft.com/office/drawing/2010/main"/>
                      </a:ext>
                    </a:extLst>
                  </pic:spPr>
                </pic:pic>
              </a:graphicData>
            </a:graphic>
          </wp:inline>
        </w:drawing>
      </w:r>
    </w:p>
    <w:p w14:paraId="3B7938E8" w14:textId="35517310" w:rsidR="0003275B" w:rsidRPr="00E80555" w:rsidRDefault="0003275B" w:rsidP="0003275B">
      <w:pPr>
        <w:jc w:val="center"/>
        <w:rPr>
          <w:szCs w:val="24"/>
        </w:rPr>
      </w:pPr>
    </w:p>
    <w:p w14:paraId="10B803E2" w14:textId="7E79AB1F" w:rsidR="00414752" w:rsidRPr="00E80555" w:rsidRDefault="00414752" w:rsidP="0003275B">
      <w:pPr>
        <w:jc w:val="center"/>
        <w:rPr>
          <w:szCs w:val="24"/>
        </w:rPr>
      </w:pPr>
    </w:p>
    <w:p w14:paraId="1CA6C30B" w14:textId="44953D5C" w:rsidR="00414752" w:rsidRPr="00E80555" w:rsidRDefault="00414752" w:rsidP="0003275B">
      <w:pPr>
        <w:jc w:val="center"/>
        <w:rPr>
          <w:szCs w:val="24"/>
        </w:rPr>
      </w:pPr>
    </w:p>
    <w:p w14:paraId="2C5FCD63" w14:textId="77777777" w:rsidR="00414752" w:rsidRPr="00E80555" w:rsidRDefault="00414752" w:rsidP="0003275B">
      <w:pPr>
        <w:jc w:val="center"/>
        <w:rPr>
          <w:szCs w:val="24"/>
        </w:rPr>
      </w:pPr>
    </w:p>
    <w:p w14:paraId="5CDE152C" w14:textId="77777777" w:rsidR="0005537D" w:rsidRPr="00DD2295" w:rsidRDefault="0005537D" w:rsidP="0005537D">
      <w:pPr>
        <w:jc w:val="center"/>
        <w:rPr>
          <w:sz w:val="32"/>
          <w:szCs w:val="32"/>
        </w:rPr>
      </w:pPr>
      <w:r w:rsidRPr="00DD2295">
        <w:rPr>
          <w:sz w:val="32"/>
          <w:szCs w:val="32"/>
        </w:rPr>
        <w:t>Documento para consulta pública</w:t>
      </w:r>
    </w:p>
    <w:p w14:paraId="4EDF1465" w14:textId="08384F72" w:rsidR="0005537D" w:rsidRPr="00DD2295" w:rsidRDefault="0005537D" w:rsidP="0005537D">
      <w:pPr>
        <w:jc w:val="center"/>
        <w:rPr>
          <w:sz w:val="32"/>
          <w:szCs w:val="32"/>
        </w:rPr>
      </w:pPr>
      <w:r w:rsidRPr="00DD2295">
        <w:rPr>
          <w:b/>
          <w:bCs/>
          <w:sz w:val="32"/>
          <w:szCs w:val="32"/>
        </w:rPr>
        <w:t>PROPUESTA DE MODIFICACIÓN AL TÍTULO V</w:t>
      </w:r>
      <w:r w:rsidR="005D2C2C">
        <w:rPr>
          <w:b/>
          <w:bCs/>
          <w:sz w:val="32"/>
          <w:szCs w:val="32"/>
        </w:rPr>
        <w:t>I</w:t>
      </w:r>
      <w:r w:rsidRPr="00DD2295">
        <w:rPr>
          <w:b/>
          <w:bCs/>
          <w:sz w:val="32"/>
          <w:szCs w:val="32"/>
        </w:rPr>
        <w:t xml:space="preserve"> DEL REGLAMENTO DE DISTRIBUCIÓN Y COMERCIALIZACIÓN, </w:t>
      </w:r>
      <w:r w:rsidRPr="00DD2295">
        <w:rPr>
          <w:rFonts w:eastAsia="Times New Roman"/>
          <w:b/>
          <w:bCs/>
          <w:sz w:val="32"/>
          <w:szCs w:val="32"/>
        </w:rPr>
        <w:t>DENOMINADO “</w:t>
      </w:r>
      <w:r w:rsidR="003842CE">
        <w:rPr>
          <w:rFonts w:eastAsia="Times New Roman"/>
          <w:b/>
          <w:bCs/>
          <w:sz w:val="32"/>
          <w:szCs w:val="32"/>
        </w:rPr>
        <w:t>INSTALAC</w:t>
      </w:r>
      <w:r w:rsidR="005D2C2C">
        <w:rPr>
          <w:rFonts w:eastAsia="Times New Roman"/>
          <w:b/>
          <w:bCs/>
          <w:sz w:val="32"/>
          <w:szCs w:val="32"/>
        </w:rPr>
        <w:t>I</w:t>
      </w:r>
      <w:r w:rsidR="003842CE">
        <w:rPr>
          <w:rFonts w:eastAsia="Times New Roman"/>
          <w:b/>
          <w:bCs/>
          <w:sz w:val="32"/>
          <w:szCs w:val="32"/>
        </w:rPr>
        <w:t>ÓN Y FINANCIAMIENTO DE NUEVAS INFRAESTRUCTURAS CON CARGAS MAYORES DE 500 kW</w:t>
      </w:r>
      <w:r w:rsidRPr="00DD2295">
        <w:rPr>
          <w:rFonts w:eastAsia="Times New Roman"/>
          <w:b/>
          <w:bCs/>
          <w:sz w:val="32"/>
          <w:szCs w:val="32"/>
        </w:rPr>
        <w:t>”</w:t>
      </w:r>
    </w:p>
    <w:p w14:paraId="5F1E579B" w14:textId="77777777" w:rsidR="0005537D" w:rsidRPr="00DD2295" w:rsidRDefault="0005537D" w:rsidP="0005537D">
      <w:pPr>
        <w:jc w:val="center"/>
        <w:rPr>
          <w:sz w:val="32"/>
          <w:szCs w:val="32"/>
        </w:rPr>
      </w:pPr>
    </w:p>
    <w:p w14:paraId="2A13CB3F" w14:textId="0E951F13" w:rsidR="0005537D" w:rsidRPr="00DD2295" w:rsidRDefault="0005537D" w:rsidP="0005537D">
      <w:pPr>
        <w:jc w:val="center"/>
        <w:rPr>
          <w:sz w:val="32"/>
          <w:szCs w:val="32"/>
        </w:rPr>
      </w:pPr>
      <w:r w:rsidRPr="00DD2295">
        <w:rPr>
          <w:sz w:val="32"/>
          <w:szCs w:val="32"/>
        </w:rPr>
        <w:t xml:space="preserve"> </w:t>
      </w:r>
      <w:r w:rsidR="00E763E6">
        <w:rPr>
          <w:sz w:val="32"/>
          <w:szCs w:val="32"/>
        </w:rPr>
        <w:t>Diciembre</w:t>
      </w:r>
      <w:r w:rsidRPr="00DD2295">
        <w:rPr>
          <w:sz w:val="32"/>
          <w:szCs w:val="32"/>
        </w:rPr>
        <w:t xml:space="preserve"> 2025</w:t>
      </w:r>
    </w:p>
    <w:p w14:paraId="196F97A9" w14:textId="77777777" w:rsidR="00C91F40" w:rsidRPr="00E80555" w:rsidRDefault="00C91F40" w:rsidP="0003275B">
      <w:pPr>
        <w:jc w:val="center"/>
        <w:rPr>
          <w:szCs w:val="24"/>
        </w:rPr>
      </w:pPr>
    </w:p>
    <w:p w14:paraId="2225EC3C" w14:textId="77777777" w:rsidR="00C91F40" w:rsidRPr="00E80555" w:rsidRDefault="00C91F40" w:rsidP="0003275B">
      <w:pPr>
        <w:jc w:val="center"/>
        <w:rPr>
          <w:szCs w:val="24"/>
        </w:rPr>
      </w:pPr>
    </w:p>
    <w:p w14:paraId="11F2720C" w14:textId="77777777" w:rsidR="00C91F40" w:rsidRPr="00E80555" w:rsidRDefault="00C91F40" w:rsidP="0003275B">
      <w:pPr>
        <w:jc w:val="center"/>
        <w:rPr>
          <w:szCs w:val="24"/>
        </w:rPr>
      </w:pPr>
    </w:p>
    <w:p w14:paraId="3A4F02B9" w14:textId="77777777" w:rsidR="00C91F40" w:rsidRPr="00E80555" w:rsidRDefault="00C91F40" w:rsidP="0003275B">
      <w:pPr>
        <w:jc w:val="center"/>
        <w:rPr>
          <w:szCs w:val="24"/>
        </w:rPr>
      </w:pPr>
    </w:p>
    <w:p w14:paraId="1AA1C5B4" w14:textId="77777777" w:rsidR="00C91F40" w:rsidRPr="00E80555" w:rsidRDefault="00C91F40" w:rsidP="0003275B">
      <w:pPr>
        <w:jc w:val="center"/>
        <w:rPr>
          <w:szCs w:val="24"/>
        </w:rPr>
      </w:pPr>
    </w:p>
    <w:p w14:paraId="31FE1802" w14:textId="77777777" w:rsidR="00C91F40" w:rsidRPr="00E80555" w:rsidRDefault="00C91F40" w:rsidP="0003275B">
      <w:pPr>
        <w:jc w:val="center"/>
        <w:rPr>
          <w:szCs w:val="24"/>
        </w:rPr>
      </w:pPr>
    </w:p>
    <w:p w14:paraId="1EEF1E94" w14:textId="16A04C7F" w:rsidR="00D84981" w:rsidRPr="00E80555" w:rsidRDefault="00D84981">
      <w:pPr>
        <w:rPr>
          <w:szCs w:val="24"/>
        </w:rPr>
      </w:pPr>
      <w:r w:rsidRPr="00E80555">
        <w:rPr>
          <w:szCs w:val="24"/>
        </w:rPr>
        <w:br w:type="page"/>
      </w:r>
    </w:p>
    <w:p w14:paraId="1A50A51D" w14:textId="54B7C1C8" w:rsidR="00E85D86" w:rsidRPr="00E80555" w:rsidRDefault="00E85D86" w:rsidP="00AB3D3F">
      <w:pPr>
        <w:rPr>
          <w:b/>
          <w:bCs/>
          <w:szCs w:val="24"/>
        </w:rPr>
      </w:pPr>
      <w:r w:rsidRPr="00E80555">
        <w:rPr>
          <w:b/>
          <w:bCs/>
          <w:szCs w:val="24"/>
        </w:rPr>
        <w:lastRenderedPageBreak/>
        <w:t>P</w:t>
      </w:r>
      <w:r w:rsidR="00C90A56" w:rsidRPr="00E80555">
        <w:rPr>
          <w:b/>
          <w:bCs/>
          <w:szCs w:val="24"/>
        </w:rPr>
        <w:t xml:space="preserve">ROPUESTA DE </w:t>
      </w:r>
      <w:r w:rsidR="00D654A4" w:rsidRPr="00E80555">
        <w:rPr>
          <w:b/>
          <w:bCs/>
          <w:szCs w:val="24"/>
        </w:rPr>
        <w:t>MODIFICACIÓN DEL TÍTULO V</w:t>
      </w:r>
      <w:r w:rsidR="005D2C2C">
        <w:rPr>
          <w:b/>
          <w:bCs/>
          <w:szCs w:val="24"/>
        </w:rPr>
        <w:t>I</w:t>
      </w:r>
      <w:r w:rsidR="00D654A4" w:rsidRPr="00E80555">
        <w:rPr>
          <w:b/>
          <w:bCs/>
          <w:szCs w:val="24"/>
        </w:rPr>
        <w:t xml:space="preserve">, DENOMINADO </w:t>
      </w:r>
      <w:r w:rsidR="003842CE">
        <w:rPr>
          <w:b/>
          <w:bCs/>
          <w:szCs w:val="24"/>
        </w:rPr>
        <w:t>INSTALACIÓN Y FINANCIAM</w:t>
      </w:r>
      <w:r w:rsidR="00F5131A">
        <w:rPr>
          <w:b/>
          <w:bCs/>
          <w:szCs w:val="24"/>
        </w:rPr>
        <w:t>I</w:t>
      </w:r>
      <w:r w:rsidR="003842CE">
        <w:rPr>
          <w:b/>
          <w:bCs/>
          <w:szCs w:val="24"/>
        </w:rPr>
        <w:t>ENTO DE NUEVAS INFRAESTRUCTURAS CON CARGAS MAYORES DE 500</w:t>
      </w:r>
      <w:r w:rsidR="00133F81">
        <w:rPr>
          <w:b/>
          <w:bCs/>
          <w:szCs w:val="24"/>
        </w:rPr>
        <w:t xml:space="preserve"> </w:t>
      </w:r>
      <w:r w:rsidR="003842CE">
        <w:rPr>
          <w:b/>
          <w:bCs/>
          <w:szCs w:val="24"/>
        </w:rPr>
        <w:t>kW</w:t>
      </w:r>
      <w:r w:rsidR="00BD157F" w:rsidRPr="00E80555">
        <w:rPr>
          <w:b/>
          <w:bCs/>
          <w:szCs w:val="24"/>
        </w:rPr>
        <w:t xml:space="preserve"> </w:t>
      </w:r>
    </w:p>
    <w:p w14:paraId="5B5ACADC" w14:textId="3FEDEBE8" w:rsidR="0025725D" w:rsidRPr="00E80555" w:rsidRDefault="0025725D" w:rsidP="00A91D9F">
      <w:pPr>
        <w:pStyle w:val="Ttulo1"/>
        <w:rPr>
          <w:rFonts w:cs="Times New Roman"/>
          <w:color w:val="auto"/>
          <w:szCs w:val="24"/>
        </w:rPr>
      </w:pPr>
      <w:r w:rsidRPr="00E80555">
        <w:rPr>
          <w:rFonts w:cs="Times New Roman"/>
          <w:color w:val="auto"/>
          <w:szCs w:val="24"/>
        </w:rPr>
        <w:t>Exposición de motivos</w:t>
      </w:r>
    </w:p>
    <w:p w14:paraId="198E7DD3" w14:textId="77777777" w:rsidR="00AB3D3F" w:rsidRDefault="00AB3D3F" w:rsidP="005C32DB">
      <w:pPr>
        <w:rPr>
          <w:szCs w:val="24"/>
        </w:rPr>
      </w:pPr>
    </w:p>
    <w:p w14:paraId="760E8BC4" w14:textId="368B5025" w:rsidR="005C32DB" w:rsidRPr="00E162EE" w:rsidRDefault="005C32DB" w:rsidP="005C32DB">
      <w:pPr>
        <w:rPr>
          <w:szCs w:val="24"/>
        </w:rPr>
      </w:pPr>
      <w:r w:rsidRPr="00E162EE">
        <w:rPr>
          <w:szCs w:val="24"/>
        </w:rPr>
        <w:t xml:space="preserve">En atención a la revisión tarifaria cuatrianual correspondiente al próximo periodo tarifario, y con el propósito de fortalecer y actualizar las disposiciones que regulan el </w:t>
      </w:r>
      <w:r w:rsidR="003251A8">
        <w:rPr>
          <w:szCs w:val="24"/>
        </w:rPr>
        <w:t>Reglamento de Distribución y Comercialización</w:t>
      </w:r>
      <w:r w:rsidRPr="00E162EE">
        <w:rPr>
          <w:szCs w:val="24"/>
        </w:rPr>
        <w:t xml:space="preserve">, se han identificado diversos aspectos que requieren aclaraciones, precisiones o ajustes normativos. En consecuencia, se proponen modificaciones a los artículos 4, </w:t>
      </w:r>
      <w:r w:rsidRPr="00133F81">
        <w:rPr>
          <w:szCs w:val="24"/>
        </w:rPr>
        <w:t xml:space="preserve">5, </w:t>
      </w:r>
      <w:r w:rsidRPr="005C32DB">
        <w:rPr>
          <w:szCs w:val="24"/>
        </w:rPr>
        <w:t>9</w:t>
      </w:r>
      <w:r>
        <w:rPr>
          <w:szCs w:val="24"/>
        </w:rPr>
        <w:t xml:space="preserve">, </w:t>
      </w:r>
      <w:r w:rsidRPr="00E162EE">
        <w:rPr>
          <w:szCs w:val="24"/>
        </w:rPr>
        <w:t>1</w:t>
      </w:r>
      <w:r>
        <w:rPr>
          <w:szCs w:val="24"/>
        </w:rPr>
        <w:t>1</w:t>
      </w:r>
      <w:r w:rsidRPr="00E162EE">
        <w:rPr>
          <w:szCs w:val="24"/>
        </w:rPr>
        <w:t>, 1</w:t>
      </w:r>
      <w:r>
        <w:rPr>
          <w:szCs w:val="24"/>
        </w:rPr>
        <w:t>2</w:t>
      </w:r>
      <w:r w:rsidRPr="00E162EE">
        <w:rPr>
          <w:szCs w:val="24"/>
        </w:rPr>
        <w:t xml:space="preserve">, </w:t>
      </w:r>
      <w:r>
        <w:rPr>
          <w:szCs w:val="24"/>
        </w:rPr>
        <w:t>17</w:t>
      </w:r>
      <w:r w:rsidRPr="00E162EE">
        <w:rPr>
          <w:szCs w:val="24"/>
        </w:rPr>
        <w:t xml:space="preserve"> y </w:t>
      </w:r>
      <w:r>
        <w:rPr>
          <w:szCs w:val="24"/>
        </w:rPr>
        <w:t>19</w:t>
      </w:r>
      <w:r w:rsidRPr="00E162EE">
        <w:rPr>
          <w:szCs w:val="24"/>
        </w:rPr>
        <w:t xml:space="preserve"> del Título V</w:t>
      </w:r>
      <w:r>
        <w:rPr>
          <w:szCs w:val="24"/>
        </w:rPr>
        <w:t>I</w:t>
      </w:r>
      <w:r w:rsidRPr="00E162EE">
        <w:rPr>
          <w:szCs w:val="24"/>
        </w:rPr>
        <w:t xml:space="preserve"> del Reglamento de Distribución y Comercialización de Energía Eléctrica.</w:t>
      </w:r>
    </w:p>
    <w:p w14:paraId="2714CDA0" w14:textId="2AA1A8B4" w:rsidR="005C32DB" w:rsidRPr="00D105AB" w:rsidRDefault="005C32DB" w:rsidP="005C32DB">
      <w:pPr>
        <w:rPr>
          <w:b/>
          <w:bCs/>
          <w:szCs w:val="24"/>
        </w:rPr>
      </w:pPr>
      <w:r w:rsidRPr="00D105AB">
        <w:rPr>
          <w:b/>
          <w:bCs/>
          <w:szCs w:val="24"/>
        </w:rPr>
        <w:t xml:space="preserve">Condiciones para </w:t>
      </w:r>
      <w:r>
        <w:rPr>
          <w:b/>
          <w:bCs/>
          <w:szCs w:val="24"/>
        </w:rPr>
        <w:t>el traspaso de la infraestructura construida por el promotor</w:t>
      </w:r>
    </w:p>
    <w:p w14:paraId="64212A7F" w14:textId="0739BB2E" w:rsidR="005C32DB" w:rsidRDefault="005C32DB" w:rsidP="005C32DB">
      <w:pPr>
        <w:rPr>
          <w:szCs w:val="24"/>
        </w:rPr>
      </w:pPr>
      <w:r>
        <w:rPr>
          <w:szCs w:val="24"/>
        </w:rPr>
        <w:t xml:space="preserve">En el artículo 4 se </w:t>
      </w:r>
      <w:r w:rsidR="00A77E29">
        <w:rPr>
          <w:szCs w:val="24"/>
        </w:rPr>
        <w:t xml:space="preserve">modifica para </w:t>
      </w:r>
      <w:r>
        <w:rPr>
          <w:szCs w:val="24"/>
        </w:rPr>
        <w:t>establece</w:t>
      </w:r>
      <w:r w:rsidR="00A77E29">
        <w:rPr>
          <w:szCs w:val="24"/>
        </w:rPr>
        <w:t>r</w:t>
      </w:r>
      <w:r>
        <w:rPr>
          <w:szCs w:val="24"/>
        </w:rPr>
        <w:t xml:space="preserve"> que </w:t>
      </w:r>
      <w:r w:rsidRPr="005C32DB">
        <w:rPr>
          <w:szCs w:val="24"/>
        </w:rPr>
        <w:t xml:space="preserve">la infraestructura pasará a ser propiedad de la empresa distribuidora cumpliendo lo establecido en </w:t>
      </w:r>
      <w:r>
        <w:rPr>
          <w:szCs w:val="24"/>
        </w:rPr>
        <w:t>el</w:t>
      </w:r>
      <w:r w:rsidRPr="005C32DB">
        <w:rPr>
          <w:szCs w:val="24"/>
        </w:rPr>
        <w:t xml:space="preserve"> reglamento</w:t>
      </w:r>
      <w:r>
        <w:rPr>
          <w:szCs w:val="24"/>
        </w:rPr>
        <w:t>.</w:t>
      </w:r>
    </w:p>
    <w:p w14:paraId="176D6979" w14:textId="3379A46E" w:rsidR="005C32DB" w:rsidRPr="00F27819" w:rsidRDefault="005C32DB" w:rsidP="005C32DB">
      <w:pPr>
        <w:rPr>
          <w:b/>
          <w:bCs/>
          <w:color w:val="000000" w:themeColor="text1"/>
        </w:rPr>
      </w:pPr>
      <w:r w:rsidRPr="00F27819">
        <w:rPr>
          <w:b/>
          <w:bCs/>
          <w:color w:val="000000" w:themeColor="text1"/>
        </w:rPr>
        <w:t>Costo típico eficiente</w:t>
      </w:r>
    </w:p>
    <w:p w14:paraId="141873F6" w14:textId="4574AA51" w:rsidR="005C32DB" w:rsidRDefault="468D9664" w:rsidP="005C32DB">
      <w:pPr>
        <w:rPr>
          <w:color w:val="000000" w:themeColor="text1"/>
        </w:rPr>
      </w:pPr>
      <w:r w:rsidRPr="5CCCC022">
        <w:rPr>
          <w:color w:val="000000" w:themeColor="text1"/>
        </w:rPr>
        <w:t xml:space="preserve">En el artículo 5 se aclara que el costo típico eficiente corresponde al costo de las redes que la empresa distribuidora construye </w:t>
      </w:r>
      <w:r w:rsidR="005C32DB" w:rsidRPr="5CCCC022">
        <w:rPr>
          <w:color w:val="000000" w:themeColor="text1"/>
        </w:rPr>
        <w:t>re</w:t>
      </w:r>
      <w:r w:rsidR="005C32DB" w:rsidRPr="5CCCC022" w:rsidDel="468D9664">
        <w:rPr>
          <w:color w:val="000000" w:themeColor="text1"/>
        </w:rPr>
        <w:t xml:space="preserve">gularmente </w:t>
      </w:r>
      <w:r w:rsidRPr="5CCCC022">
        <w:rPr>
          <w:color w:val="000000" w:themeColor="text1"/>
        </w:rPr>
        <w:t>para atender solicitudes de servicio de sus clientes.</w:t>
      </w:r>
    </w:p>
    <w:p w14:paraId="3D269819" w14:textId="275336B5" w:rsidR="005C32DB" w:rsidRDefault="005C32DB" w:rsidP="005C32DB">
      <w:pPr>
        <w:rPr>
          <w:szCs w:val="24"/>
        </w:rPr>
      </w:pPr>
      <w:r>
        <w:rPr>
          <w:szCs w:val="24"/>
        </w:rPr>
        <w:t xml:space="preserve">Así mismo, en el artículo 9 se aclara que para </w:t>
      </w:r>
      <w:r w:rsidRPr="005C32DB">
        <w:rPr>
          <w:szCs w:val="24"/>
        </w:rPr>
        <w:t xml:space="preserve">las instalaciones </w:t>
      </w:r>
      <w:r>
        <w:rPr>
          <w:szCs w:val="24"/>
        </w:rPr>
        <w:t xml:space="preserve">que </w:t>
      </w:r>
      <w:r w:rsidRPr="005C32DB">
        <w:rPr>
          <w:szCs w:val="24"/>
        </w:rPr>
        <w:t>tengan características especiales</w:t>
      </w:r>
      <w:r w:rsidR="004C6124">
        <w:rPr>
          <w:szCs w:val="24"/>
        </w:rPr>
        <w:t>,</w:t>
      </w:r>
      <w:r w:rsidRPr="005C32DB">
        <w:rPr>
          <w:szCs w:val="24"/>
        </w:rPr>
        <w:t xml:space="preserve"> los costos adicionales a los costos de las construcciones típicas</w:t>
      </w:r>
      <w:r w:rsidR="001C5C5A">
        <w:rPr>
          <w:szCs w:val="24"/>
        </w:rPr>
        <w:t xml:space="preserve"> </w:t>
      </w:r>
      <w:r w:rsidRPr="005C32DB">
        <w:rPr>
          <w:szCs w:val="24"/>
        </w:rPr>
        <w:t xml:space="preserve">que las empresas distribuidoras </w:t>
      </w:r>
      <w:r w:rsidRPr="005C32DB" w:rsidDel="001C5C5A">
        <w:rPr>
          <w:szCs w:val="24"/>
        </w:rPr>
        <w:t xml:space="preserve">construyen regularmente para atender solicitudes de servicio de sus clientes </w:t>
      </w:r>
      <w:r w:rsidRPr="005C32DB">
        <w:rPr>
          <w:szCs w:val="24"/>
        </w:rPr>
        <w:t>y/o no cumple con la norma constructiva de la empresa distribuidora serán cubiertos por el promotor y/o los residentes de dichas urbanizaciones.</w:t>
      </w:r>
    </w:p>
    <w:p w14:paraId="51D686FA" w14:textId="3E5DFB87" w:rsidR="005C32DB" w:rsidRPr="00F27819" w:rsidRDefault="005C32DB" w:rsidP="005C32DB">
      <w:pPr>
        <w:rPr>
          <w:b/>
          <w:bCs/>
          <w:szCs w:val="24"/>
        </w:rPr>
      </w:pPr>
      <w:r w:rsidRPr="00F27819">
        <w:rPr>
          <w:b/>
          <w:bCs/>
          <w:szCs w:val="24"/>
        </w:rPr>
        <w:t>Verificación y aprobación de la construcción</w:t>
      </w:r>
    </w:p>
    <w:p w14:paraId="78E35A96" w14:textId="58443528" w:rsidR="005C32DB" w:rsidRDefault="00EA0E76" w:rsidP="005C32DB">
      <w:pPr>
        <w:rPr>
          <w:szCs w:val="24"/>
        </w:rPr>
      </w:pPr>
      <w:r w:rsidRPr="00EA0E76">
        <w:rPr>
          <w:szCs w:val="24"/>
        </w:rPr>
        <w:t xml:space="preserve">El artículo 11 dispone que la empresa distribuidora debe verificar y aprobar la construcción, así como constatar el índice de ocupación </w:t>
      </w:r>
      <w:r w:rsidR="00A3792E">
        <w:rPr>
          <w:szCs w:val="24"/>
        </w:rPr>
        <w:t xml:space="preserve">de </w:t>
      </w:r>
      <w:r w:rsidR="00A3792E" w:rsidRPr="00760692">
        <w:t xml:space="preserve">lotes, urbanizaciones y otras infraestructuras </w:t>
      </w:r>
      <w:r w:rsidRPr="00EA0E76">
        <w:rPr>
          <w:szCs w:val="24"/>
        </w:rPr>
        <w:t>antes de proceder con el reembolso</w:t>
      </w:r>
      <w:r w:rsidR="005C32DB">
        <w:rPr>
          <w:szCs w:val="24"/>
        </w:rPr>
        <w:t>.</w:t>
      </w:r>
    </w:p>
    <w:p w14:paraId="06A11945" w14:textId="65EEEEF0" w:rsidR="005C32DB" w:rsidRPr="00F27819" w:rsidRDefault="00907658" w:rsidP="005C32DB">
      <w:pPr>
        <w:rPr>
          <w:b/>
          <w:bCs/>
          <w:szCs w:val="24"/>
        </w:rPr>
      </w:pPr>
      <w:r w:rsidRPr="00F27819">
        <w:rPr>
          <w:b/>
          <w:bCs/>
          <w:szCs w:val="24"/>
        </w:rPr>
        <w:t>Ocupación predial</w:t>
      </w:r>
      <w:r>
        <w:rPr>
          <w:b/>
          <w:bCs/>
          <w:szCs w:val="24"/>
        </w:rPr>
        <w:t xml:space="preserve"> y costo para reembolsar</w:t>
      </w:r>
    </w:p>
    <w:p w14:paraId="18F9231E" w14:textId="290EA05F" w:rsidR="005C32DB" w:rsidRDefault="005C32DB" w:rsidP="005C32DB">
      <w:pPr>
        <w:rPr>
          <w:szCs w:val="24"/>
        </w:rPr>
      </w:pPr>
      <w:r>
        <w:rPr>
          <w:szCs w:val="24"/>
        </w:rPr>
        <w:t xml:space="preserve">Debido a que las tarifas </w:t>
      </w:r>
      <w:r w:rsidR="00751141">
        <w:rPr>
          <w:szCs w:val="24"/>
        </w:rPr>
        <w:t xml:space="preserve">de todos los clientes </w:t>
      </w:r>
      <w:r>
        <w:rPr>
          <w:szCs w:val="24"/>
        </w:rPr>
        <w:t xml:space="preserve">no deben reconocer </w:t>
      </w:r>
      <w:r w:rsidR="004E0FA7">
        <w:rPr>
          <w:szCs w:val="24"/>
        </w:rPr>
        <w:t>costos de infraestructura</w:t>
      </w:r>
      <w:r w:rsidR="000C0559">
        <w:rPr>
          <w:szCs w:val="24"/>
        </w:rPr>
        <w:t xml:space="preserve"> </w:t>
      </w:r>
      <w:r>
        <w:rPr>
          <w:szCs w:val="24"/>
        </w:rPr>
        <w:t>que esté subutilizad</w:t>
      </w:r>
      <w:r w:rsidR="000B2766">
        <w:rPr>
          <w:szCs w:val="24"/>
        </w:rPr>
        <w:t xml:space="preserve">a o que </w:t>
      </w:r>
      <w:r w:rsidR="00230C10">
        <w:rPr>
          <w:szCs w:val="24"/>
        </w:rPr>
        <w:t xml:space="preserve">involucre mayores costos </w:t>
      </w:r>
      <w:r w:rsidR="00800F85">
        <w:rPr>
          <w:szCs w:val="24"/>
        </w:rPr>
        <w:t xml:space="preserve">de lo que </w:t>
      </w:r>
      <w:r w:rsidR="00563B51">
        <w:rPr>
          <w:szCs w:val="24"/>
        </w:rPr>
        <w:t>le habría costado a la empresa de distribución utilizando su</w:t>
      </w:r>
      <w:r w:rsidR="00D92C1C">
        <w:rPr>
          <w:szCs w:val="24"/>
        </w:rPr>
        <w:t xml:space="preserve"> estándar con</w:t>
      </w:r>
      <w:r w:rsidR="00563B51">
        <w:rPr>
          <w:szCs w:val="24"/>
        </w:rPr>
        <w:t>s</w:t>
      </w:r>
      <w:r w:rsidR="00E47D1E">
        <w:rPr>
          <w:szCs w:val="24"/>
        </w:rPr>
        <w:t>tructivo reconocido</w:t>
      </w:r>
      <w:r>
        <w:rPr>
          <w:szCs w:val="24"/>
        </w:rPr>
        <w:t>,</w:t>
      </w:r>
      <w:r w:rsidR="00107F45">
        <w:rPr>
          <w:szCs w:val="24"/>
        </w:rPr>
        <w:t xml:space="preserve"> se modifica el artículo</w:t>
      </w:r>
      <w:r w:rsidR="00EB289B">
        <w:rPr>
          <w:szCs w:val="24"/>
        </w:rPr>
        <w:t xml:space="preserve"> 12</w:t>
      </w:r>
      <w:r>
        <w:rPr>
          <w:szCs w:val="24"/>
        </w:rPr>
        <w:t xml:space="preserve"> p</w:t>
      </w:r>
      <w:r w:rsidRPr="005C32DB">
        <w:rPr>
          <w:szCs w:val="24"/>
        </w:rPr>
        <w:t>ara</w:t>
      </w:r>
      <w:r w:rsidR="00EB289B">
        <w:rPr>
          <w:szCs w:val="24"/>
        </w:rPr>
        <w:t xml:space="preserve"> </w:t>
      </w:r>
      <w:r w:rsidR="00751141">
        <w:rPr>
          <w:szCs w:val="24"/>
        </w:rPr>
        <w:t xml:space="preserve">eliminar la posibilidad de reembolsar </w:t>
      </w:r>
      <w:r w:rsidR="001635A0">
        <w:rPr>
          <w:szCs w:val="24"/>
        </w:rPr>
        <w:t xml:space="preserve">el </w:t>
      </w:r>
      <w:r w:rsidR="00751141">
        <w:rPr>
          <w:szCs w:val="24"/>
        </w:rPr>
        <w:t>costo de infraestructura soterrada</w:t>
      </w:r>
      <w:r w:rsidR="001C64DC">
        <w:rPr>
          <w:szCs w:val="24"/>
        </w:rPr>
        <w:t xml:space="preserve">, ya que </w:t>
      </w:r>
      <w:r w:rsidR="00847F7E">
        <w:rPr>
          <w:szCs w:val="24"/>
        </w:rPr>
        <w:t xml:space="preserve">el costo adicional que representa </w:t>
      </w:r>
      <w:r w:rsidR="000D4DEF">
        <w:rPr>
          <w:szCs w:val="24"/>
        </w:rPr>
        <w:t>la</w:t>
      </w:r>
      <w:r w:rsidR="001C64DC">
        <w:rPr>
          <w:szCs w:val="24"/>
        </w:rPr>
        <w:t xml:space="preserve"> infraestructura</w:t>
      </w:r>
      <w:r w:rsidR="000D4DEF">
        <w:rPr>
          <w:szCs w:val="24"/>
        </w:rPr>
        <w:t xml:space="preserve"> soterrada </w:t>
      </w:r>
      <w:r w:rsidR="00847F7E">
        <w:rPr>
          <w:szCs w:val="24"/>
        </w:rPr>
        <w:t xml:space="preserve">debe ser cubierto por </w:t>
      </w:r>
      <w:r w:rsidR="00E425ED">
        <w:rPr>
          <w:szCs w:val="24"/>
        </w:rPr>
        <w:t>el promotor o los clientes beneficiados de esas estructuras específicas y para</w:t>
      </w:r>
      <w:r w:rsidR="00751141">
        <w:rPr>
          <w:szCs w:val="24"/>
        </w:rPr>
        <w:t xml:space="preserve"> </w:t>
      </w:r>
      <w:r w:rsidR="00EB289B">
        <w:rPr>
          <w:szCs w:val="24"/>
        </w:rPr>
        <w:t>establecer que en</w:t>
      </w:r>
      <w:r w:rsidRPr="005C32DB">
        <w:rPr>
          <w:szCs w:val="24"/>
        </w:rPr>
        <w:t xml:space="preserve"> los casos en los que los lotes, urbanizaciones y otras infraestructuras tengan un índice de ocupación predial o habitabilidad menor a </w:t>
      </w:r>
      <w:r w:rsidR="006335E7">
        <w:rPr>
          <w:szCs w:val="24"/>
        </w:rPr>
        <w:t>cincuenta</w:t>
      </w:r>
      <w:r w:rsidRPr="005C32DB">
        <w:rPr>
          <w:szCs w:val="24"/>
        </w:rPr>
        <w:t xml:space="preserve"> por </w:t>
      </w:r>
      <w:r w:rsidRPr="00E425ED">
        <w:rPr>
          <w:szCs w:val="24"/>
        </w:rPr>
        <w:t>ciento (</w:t>
      </w:r>
      <w:r w:rsidR="006335E7">
        <w:rPr>
          <w:szCs w:val="24"/>
        </w:rPr>
        <w:t>5</w:t>
      </w:r>
      <w:r w:rsidRPr="00E425ED">
        <w:rPr>
          <w:szCs w:val="24"/>
        </w:rPr>
        <w:t>0%)</w:t>
      </w:r>
      <w:r w:rsidR="00E425ED" w:rsidRPr="00E425ED">
        <w:rPr>
          <w:szCs w:val="24"/>
        </w:rPr>
        <w:t>,</w:t>
      </w:r>
      <w:r w:rsidRPr="00E425ED">
        <w:rPr>
          <w:szCs w:val="24"/>
        </w:rPr>
        <w:t xml:space="preserve"> la</w:t>
      </w:r>
      <w:r w:rsidRPr="005C32DB">
        <w:rPr>
          <w:szCs w:val="24"/>
        </w:rPr>
        <w:t xml:space="preserve"> devolución </w:t>
      </w:r>
      <w:r>
        <w:rPr>
          <w:szCs w:val="24"/>
        </w:rPr>
        <w:t xml:space="preserve">se realizará cuando se </w:t>
      </w:r>
      <w:r>
        <w:rPr>
          <w:szCs w:val="24"/>
        </w:rPr>
        <w:lastRenderedPageBreak/>
        <w:t>alcance ese porcentaje establecido.</w:t>
      </w:r>
      <w:r w:rsidR="00282C3A">
        <w:rPr>
          <w:szCs w:val="24"/>
        </w:rPr>
        <w:t xml:space="preserve"> También se incorpora que los intereses por atraso en los reembolsos no puede ser trasladado a las tarifas de los clientes.</w:t>
      </w:r>
    </w:p>
    <w:p w14:paraId="204A4059" w14:textId="1936A597" w:rsidR="005C32DB" w:rsidRDefault="005C32DB" w:rsidP="00BF184B">
      <w:pPr>
        <w:tabs>
          <w:tab w:val="left" w:pos="7513"/>
        </w:tabs>
        <w:rPr>
          <w:szCs w:val="24"/>
        </w:rPr>
      </w:pPr>
      <w:r>
        <w:rPr>
          <w:szCs w:val="24"/>
        </w:rPr>
        <w:t>Así mismo</w:t>
      </w:r>
      <w:r w:rsidR="00EB289B">
        <w:rPr>
          <w:szCs w:val="24"/>
        </w:rPr>
        <w:t xml:space="preserve"> se modifican</w:t>
      </w:r>
      <w:r>
        <w:rPr>
          <w:szCs w:val="24"/>
        </w:rPr>
        <w:t xml:space="preserve"> los artículos 17 y 19 </w:t>
      </w:r>
      <w:r w:rsidR="007A517D">
        <w:rPr>
          <w:szCs w:val="24"/>
        </w:rPr>
        <w:t xml:space="preserve">que </w:t>
      </w:r>
      <w:r>
        <w:rPr>
          <w:szCs w:val="24"/>
        </w:rPr>
        <w:t>establecen la información que el promotor debe entregar a la empresa distribuidora y ésta a la ASEP</w:t>
      </w:r>
      <w:r w:rsidR="007A517D">
        <w:rPr>
          <w:szCs w:val="24"/>
        </w:rPr>
        <w:t xml:space="preserve">, para incorporar </w:t>
      </w:r>
      <w:r w:rsidR="00C23ABE">
        <w:rPr>
          <w:szCs w:val="24"/>
        </w:rPr>
        <w:t>e</w:t>
      </w:r>
      <w:r>
        <w:rPr>
          <w:szCs w:val="24"/>
        </w:rPr>
        <w:t>l índice de ocupación predial.</w:t>
      </w:r>
    </w:p>
    <w:p w14:paraId="00960134" w14:textId="0454E0D8" w:rsidR="00B73BD8" w:rsidRDefault="00B73BD8">
      <w:pPr>
        <w:rPr>
          <w:b/>
          <w:bCs/>
          <w:szCs w:val="24"/>
        </w:rPr>
      </w:pPr>
      <w:r>
        <w:rPr>
          <w:b/>
          <w:bCs/>
          <w:szCs w:val="24"/>
        </w:rPr>
        <w:br w:type="page"/>
      </w:r>
    </w:p>
    <w:p w14:paraId="19981B53" w14:textId="13D60737" w:rsidR="007346BC" w:rsidRDefault="25A8E71F" w:rsidP="007346BC">
      <w:pPr>
        <w:pStyle w:val="Ttulo1"/>
        <w:ind w:left="567" w:hanging="567"/>
        <w:rPr>
          <w:rFonts w:cs="Times New Roman"/>
          <w:color w:val="auto"/>
          <w:szCs w:val="24"/>
        </w:rPr>
      </w:pPr>
      <w:r w:rsidRPr="00E80555">
        <w:rPr>
          <w:rFonts w:cs="Times New Roman"/>
          <w:color w:val="auto"/>
          <w:szCs w:val="24"/>
        </w:rPr>
        <w:lastRenderedPageBreak/>
        <w:t xml:space="preserve">PROPUESTA DE </w:t>
      </w:r>
      <w:r w:rsidR="00C91F40" w:rsidRPr="00E80555">
        <w:rPr>
          <w:rFonts w:cs="Times New Roman"/>
          <w:color w:val="auto"/>
          <w:szCs w:val="24"/>
        </w:rPr>
        <w:t>MODIFICACIÓN AL TÍTULO V</w:t>
      </w:r>
      <w:r w:rsidR="00B6654D">
        <w:rPr>
          <w:rFonts w:cs="Times New Roman"/>
          <w:color w:val="auto"/>
          <w:szCs w:val="24"/>
        </w:rPr>
        <w:t>I</w:t>
      </w:r>
      <w:r w:rsidR="00C91F40" w:rsidRPr="00E80555">
        <w:rPr>
          <w:rFonts w:cs="Times New Roman"/>
          <w:color w:val="auto"/>
          <w:szCs w:val="24"/>
        </w:rPr>
        <w:t xml:space="preserve"> DEL REGLAMENTO DE DISTRIBUCIÓN Y COMERCIALIZACIÓN</w:t>
      </w:r>
    </w:p>
    <w:p w14:paraId="5E2C155D" w14:textId="77777777" w:rsidR="007346BC" w:rsidRPr="007346BC" w:rsidRDefault="007346BC" w:rsidP="007346BC"/>
    <w:p w14:paraId="5FCB7E88" w14:textId="1F6D4DED" w:rsidR="003722DC" w:rsidRPr="00816A14" w:rsidRDefault="003722DC" w:rsidP="008A0EAF">
      <w:pPr>
        <w:pStyle w:val="Prrafodelista"/>
        <w:numPr>
          <w:ilvl w:val="0"/>
          <w:numId w:val="3"/>
        </w:numPr>
        <w:rPr>
          <w:b/>
          <w:bCs/>
          <w:color w:val="4472C4" w:themeColor="accent1"/>
        </w:rPr>
      </w:pPr>
      <w:r w:rsidRPr="00816A14">
        <w:rPr>
          <w:b/>
          <w:bCs/>
          <w:color w:val="4472C4" w:themeColor="accent1"/>
        </w:rPr>
        <w:t>Donde dice</w:t>
      </w:r>
    </w:p>
    <w:p w14:paraId="48BA5888" w14:textId="3832774C" w:rsidR="00324E4E" w:rsidRDefault="006F7E06" w:rsidP="00E86233">
      <w:pPr>
        <w:rPr>
          <w:lang w:val="es-ES" w:eastAsia="es-ES"/>
        </w:rPr>
      </w:pPr>
      <w:r>
        <w:rPr>
          <w:b/>
          <w:bCs/>
          <w:lang w:val="es-ES" w:eastAsia="es-ES"/>
        </w:rPr>
        <w:t xml:space="preserve">Artículo 4. </w:t>
      </w:r>
      <w:r w:rsidR="00324E4E" w:rsidRPr="00914EB3">
        <w:rPr>
          <w:lang w:val="es-ES" w:eastAsia="es-ES"/>
        </w:rPr>
        <w:t xml:space="preserve">La línea de conexión y/o la red de distribución para el suministro de energía eléctrica a la infraestructura, pasará a ser propiedad de la empresa distribuidora. La inversión asociada a la misma será reconocida en las tarifas eléctricas conforme a las disposiciones del Régimen Tarifario vigente. </w:t>
      </w:r>
    </w:p>
    <w:p w14:paraId="3629E8D0" w14:textId="0D2CA1CD" w:rsidR="006F7E06" w:rsidRDefault="006F7E06" w:rsidP="00E86233">
      <w:pPr>
        <w:rPr>
          <w:b/>
          <w:bCs/>
          <w:u w:val="single"/>
          <w:lang w:val="es-ES" w:eastAsia="es-ES"/>
        </w:rPr>
      </w:pPr>
      <w:r>
        <w:rPr>
          <w:b/>
          <w:bCs/>
          <w:u w:val="single"/>
          <w:lang w:val="es-ES" w:eastAsia="es-ES"/>
        </w:rPr>
        <w:t>Debe decir</w:t>
      </w:r>
    </w:p>
    <w:p w14:paraId="368B318B" w14:textId="2D0D2D32" w:rsidR="007346BC" w:rsidRDefault="00793986" w:rsidP="00E86233">
      <w:pPr>
        <w:rPr>
          <w:lang w:val="es-ES" w:eastAsia="es-ES"/>
        </w:rPr>
      </w:pPr>
      <w:r>
        <w:rPr>
          <w:b/>
          <w:bCs/>
          <w:lang w:val="es-ES" w:eastAsia="es-ES"/>
        </w:rPr>
        <w:t xml:space="preserve">Artículo 4. </w:t>
      </w:r>
      <w:r w:rsidRPr="00914EB3">
        <w:rPr>
          <w:lang w:val="es-ES" w:eastAsia="es-ES"/>
        </w:rPr>
        <w:t xml:space="preserve">La línea de conexión y/o la red de distribución para el suministro de energía eléctrica a </w:t>
      </w:r>
      <w:bookmarkStart w:id="0" w:name="_Hlk213779109"/>
      <w:r w:rsidRPr="00914EB3">
        <w:rPr>
          <w:lang w:val="es-ES" w:eastAsia="es-ES"/>
        </w:rPr>
        <w:t>la infraestructura, pasará a ser propiedad de la empresa distribuidora</w:t>
      </w:r>
      <w:r w:rsidRPr="008678C9">
        <w:rPr>
          <w:rFonts w:eastAsia="Times New Roman"/>
          <w:szCs w:val="20"/>
          <w:lang w:val="es-ES" w:eastAsia="es-ES"/>
        </w:rPr>
        <w:t xml:space="preserve">, </w:t>
      </w:r>
      <w:r w:rsidRPr="008678C9">
        <w:rPr>
          <w:rFonts w:eastAsia="Times New Roman"/>
          <w:color w:val="EE0000"/>
          <w:szCs w:val="20"/>
          <w:lang w:val="es-ES" w:eastAsia="es-ES"/>
        </w:rPr>
        <w:t>cumpliendo lo establecido en este reglamento</w:t>
      </w:r>
      <w:bookmarkEnd w:id="0"/>
      <w:r w:rsidRPr="00914EB3">
        <w:rPr>
          <w:lang w:val="es-ES" w:eastAsia="es-ES"/>
        </w:rPr>
        <w:t>. La inversión asociada a la misma será reconocida en las tarifas eléctricas conforme a las disposiciones del Régimen Tarifario vigente.</w:t>
      </w:r>
    </w:p>
    <w:p w14:paraId="62F102A1" w14:textId="3CBA4BBD" w:rsidR="007346BC" w:rsidRPr="00816A14" w:rsidRDefault="007346BC" w:rsidP="008A0EAF">
      <w:pPr>
        <w:pStyle w:val="Prrafodelista"/>
        <w:numPr>
          <w:ilvl w:val="0"/>
          <w:numId w:val="3"/>
        </w:numPr>
        <w:rPr>
          <w:b/>
          <w:bCs/>
          <w:color w:val="4472C4" w:themeColor="accent1"/>
        </w:rPr>
      </w:pPr>
      <w:r w:rsidRPr="00816A14">
        <w:rPr>
          <w:b/>
          <w:bCs/>
          <w:color w:val="4472C4" w:themeColor="accent1"/>
        </w:rPr>
        <w:t>Donde dice</w:t>
      </w:r>
    </w:p>
    <w:p w14:paraId="2FE32EE7" w14:textId="36F50355" w:rsidR="00324E4E" w:rsidRPr="00914EB3" w:rsidRDefault="007178B3" w:rsidP="00E86233">
      <w:pPr>
        <w:rPr>
          <w:b/>
          <w:bCs/>
          <w:lang w:val="es-ES" w:eastAsia="es-ES"/>
        </w:rPr>
      </w:pPr>
      <w:r>
        <w:rPr>
          <w:b/>
          <w:bCs/>
          <w:lang w:val="es-ES" w:eastAsia="es-ES"/>
        </w:rPr>
        <w:t xml:space="preserve">Artículo 5. </w:t>
      </w:r>
      <w:r w:rsidR="00324E4E" w:rsidRPr="00914EB3">
        <w:rPr>
          <w:lang w:val="es-ES" w:eastAsia="es-ES"/>
        </w:rPr>
        <w:t>Se considera como Contribución Reembolsable el 90% del Costo Equivalente del Proyecto construido por el Promotor para el desarrollo de la Línea de Conexión y/o de la Red de Distribución requerida para el suministro eléctrico a la infraestructura del Promotor. El 10 % restante del Costo Equivalente se considera como una contribución no reembolsable.  Las condiciones del contrato reembolsable deberán establecerse de acuerdo a lo estipulado en este RDC.</w:t>
      </w:r>
    </w:p>
    <w:p w14:paraId="398B110F" w14:textId="3A7F75E0" w:rsidR="00324E4E" w:rsidRPr="005A1255" w:rsidRDefault="00324E4E" w:rsidP="00E86233">
      <w:pPr>
        <w:rPr>
          <w:color w:val="000000" w:themeColor="text1"/>
        </w:rPr>
      </w:pPr>
      <w:r w:rsidRPr="005A1255">
        <w:rPr>
          <w:color w:val="000000" w:themeColor="text1"/>
        </w:rPr>
        <w:t>El Costo Equivalente del Proyecto (Línea de Conexión</w:t>
      </w:r>
      <w:r w:rsidRPr="00B269FE">
        <w:rPr>
          <w:b/>
          <w:color w:val="C00000"/>
        </w:rPr>
        <w:t xml:space="preserve"> </w:t>
      </w:r>
      <w:r w:rsidRPr="005A1255">
        <w:rPr>
          <w:color w:val="000000" w:themeColor="text1"/>
        </w:rPr>
        <w:t xml:space="preserve">y/o Red de Distribución), se establecerá en base a un costo </w:t>
      </w:r>
      <w:r>
        <w:rPr>
          <w:color w:val="000000" w:themeColor="text1"/>
        </w:rPr>
        <w:t xml:space="preserve">típico </w:t>
      </w:r>
      <w:r w:rsidRPr="005A1255">
        <w:rPr>
          <w:color w:val="000000" w:themeColor="text1"/>
        </w:rPr>
        <w:t>eficiente, tomando como referencia unidades constructivas típicas.</w:t>
      </w:r>
    </w:p>
    <w:p w14:paraId="37494812" w14:textId="77777777" w:rsidR="00324E4E" w:rsidRDefault="00324E4E" w:rsidP="00E86233">
      <w:pPr>
        <w:rPr>
          <w:color w:val="000000" w:themeColor="text1"/>
        </w:rPr>
      </w:pPr>
      <w:r w:rsidRPr="0068511B">
        <w:rPr>
          <w:color w:val="000000" w:themeColor="text1"/>
        </w:rPr>
        <w:t>La empresa distribuidora publicará anualmente en su sitio de Internet los costos típicos por unidades constructivas usuales para este tipo de infraestructuras.</w:t>
      </w:r>
    </w:p>
    <w:p w14:paraId="403762FF" w14:textId="77777777" w:rsidR="00E81BF6" w:rsidRDefault="00E81BF6" w:rsidP="00E81BF6">
      <w:pPr>
        <w:rPr>
          <w:b/>
          <w:bCs/>
          <w:u w:val="single"/>
          <w:lang w:val="es-ES" w:eastAsia="es-ES"/>
        </w:rPr>
      </w:pPr>
      <w:r>
        <w:rPr>
          <w:b/>
          <w:bCs/>
          <w:u w:val="single"/>
          <w:lang w:val="es-ES" w:eastAsia="es-ES"/>
        </w:rPr>
        <w:t>Debe decir</w:t>
      </w:r>
    </w:p>
    <w:p w14:paraId="0281BAB6" w14:textId="2E041A24" w:rsidR="00793986" w:rsidRPr="00914EB3" w:rsidRDefault="00793986" w:rsidP="00793986">
      <w:pPr>
        <w:rPr>
          <w:b/>
          <w:bCs/>
          <w:lang w:val="es-ES" w:eastAsia="es-ES"/>
        </w:rPr>
      </w:pPr>
      <w:r>
        <w:rPr>
          <w:b/>
          <w:bCs/>
          <w:lang w:val="es-ES" w:eastAsia="es-ES"/>
        </w:rPr>
        <w:t xml:space="preserve">Artículo 5. </w:t>
      </w:r>
      <w:r w:rsidRPr="00914EB3">
        <w:rPr>
          <w:lang w:val="es-ES" w:eastAsia="es-ES"/>
        </w:rPr>
        <w:t xml:space="preserve">Se considera como Contribución Reembolsable el 90% del Costo Equivalente del Proyecto construido por el Promotor para el desarrollo de la Línea de Conexión y/o de la Red de Distribución requerida para el suministro eléctrico a la infraestructura del Promotor. El 10 % restante del Costo Equivalente se considera como una contribución no reembolsable.  Las condiciones del contrato reembolsable deberán establecerse de acuerdo </w:t>
      </w:r>
      <w:r w:rsidR="00F2773C" w:rsidRPr="00F2773C">
        <w:rPr>
          <w:color w:val="EE0000"/>
          <w:lang w:val="es-ES" w:eastAsia="es-ES"/>
        </w:rPr>
        <w:t>con</w:t>
      </w:r>
      <w:r w:rsidRPr="00F2773C">
        <w:rPr>
          <w:color w:val="EE0000"/>
          <w:lang w:val="es-ES" w:eastAsia="es-ES"/>
        </w:rPr>
        <w:t xml:space="preserve"> </w:t>
      </w:r>
      <w:r w:rsidRPr="00914EB3">
        <w:rPr>
          <w:lang w:val="es-ES" w:eastAsia="es-ES"/>
        </w:rPr>
        <w:t>lo estipulado en este RDC.</w:t>
      </w:r>
    </w:p>
    <w:p w14:paraId="45E49290" w14:textId="53E46303" w:rsidR="00793986" w:rsidRPr="005A1255" w:rsidRDefault="00793986" w:rsidP="00793986">
      <w:pPr>
        <w:rPr>
          <w:color w:val="000000" w:themeColor="text1"/>
        </w:rPr>
      </w:pPr>
      <w:r w:rsidRPr="00F2773C">
        <w:rPr>
          <w:color w:val="EE0000"/>
        </w:rPr>
        <w:t>El Costo Equivalente del Proyecto (</w:t>
      </w:r>
      <w:r w:rsidR="001B7A0C">
        <w:rPr>
          <w:color w:val="EE0000"/>
        </w:rPr>
        <w:t xml:space="preserve">ya sea </w:t>
      </w:r>
      <w:r w:rsidRPr="00F2773C">
        <w:rPr>
          <w:color w:val="EE0000"/>
        </w:rPr>
        <w:t>Línea de Conexión</w:t>
      </w:r>
      <w:r w:rsidRPr="00F2773C">
        <w:rPr>
          <w:b/>
          <w:color w:val="EE0000"/>
        </w:rPr>
        <w:t xml:space="preserve"> </w:t>
      </w:r>
      <w:r w:rsidRPr="00F2773C">
        <w:rPr>
          <w:color w:val="EE0000"/>
        </w:rPr>
        <w:t xml:space="preserve">y/o Red de Distribución), se </w:t>
      </w:r>
      <w:r w:rsidR="001B7A0C">
        <w:rPr>
          <w:color w:val="EE0000"/>
        </w:rPr>
        <w:t>determina</w:t>
      </w:r>
      <w:r w:rsidRPr="00F2773C">
        <w:rPr>
          <w:color w:val="EE0000"/>
        </w:rPr>
        <w:t xml:space="preserve">rá </w:t>
      </w:r>
      <w:r w:rsidR="00443B0C" w:rsidRPr="00F2773C">
        <w:rPr>
          <w:color w:val="EE0000"/>
        </w:rPr>
        <w:t xml:space="preserve">con </w:t>
      </w:r>
      <w:r w:rsidRPr="00F2773C">
        <w:rPr>
          <w:color w:val="EE0000"/>
        </w:rPr>
        <w:t xml:space="preserve">base </w:t>
      </w:r>
      <w:r w:rsidR="00443B0C" w:rsidRPr="00F2773C">
        <w:rPr>
          <w:color w:val="EE0000"/>
        </w:rPr>
        <w:t>en</w:t>
      </w:r>
      <w:r w:rsidRPr="00F2773C">
        <w:rPr>
          <w:color w:val="EE0000"/>
        </w:rPr>
        <w:t xml:space="preserve"> </w:t>
      </w:r>
      <w:r w:rsidR="002A522E" w:rsidRPr="00F2773C">
        <w:rPr>
          <w:color w:val="EE0000"/>
        </w:rPr>
        <w:t>el</w:t>
      </w:r>
      <w:r w:rsidRPr="00F2773C">
        <w:rPr>
          <w:color w:val="EE0000"/>
        </w:rPr>
        <w:t xml:space="preserve"> costo típico eficiente de las redes que la empresa distribuidora construye </w:t>
      </w:r>
      <w:r w:rsidRPr="00F2773C" w:rsidDel="001B7A0C">
        <w:rPr>
          <w:color w:val="EE0000"/>
        </w:rPr>
        <w:t xml:space="preserve">regularmente </w:t>
      </w:r>
      <w:r w:rsidRPr="00F2773C">
        <w:rPr>
          <w:color w:val="EE0000"/>
        </w:rPr>
        <w:t xml:space="preserve">para atender solicitudes de servicio de sus clientes, </w:t>
      </w:r>
      <w:r w:rsidR="002D3B6E">
        <w:rPr>
          <w:color w:val="EE0000"/>
        </w:rPr>
        <w:t>empleando para ello</w:t>
      </w:r>
      <w:r w:rsidR="002D3B6E" w:rsidRPr="00F2773C">
        <w:rPr>
          <w:color w:val="EE0000"/>
        </w:rPr>
        <w:t xml:space="preserve"> </w:t>
      </w:r>
      <w:r w:rsidR="002A522E" w:rsidRPr="00F2773C">
        <w:rPr>
          <w:color w:val="EE0000"/>
        </w:rPr>
        <w:t xml:space="preserve">las </w:t>
      </w:r>
      <w:r w:rsidRPr="00F2773C">
        <w:rPr>
          <w:color w:val="EE0000"/>
        </w:rPr>
        <w:t>unidades constructivas típicas</w:t>
      </w:r>
      <w:r w:rsidRPr="005A1255">
        <w:rPr>
          <w:color w:val="000000" w:themeColor="text1"/>
        </w:rPr>
        <w:t>.</w:t>
      </w:r>
    </w:p>
    <w:p w14:paraId="6CD76BDD" w14:textId="585D82E3" w:rsidR="00793986" w:rsidRDefault="00793986" w:rsidP="00793986">
      <w:pPr>
        <w:rPr>
          <w:color w:val="000000" w:themeColor="text1"/>
        </w:rPr>
      </w:pPr>
      <w:r w:rsidRPr="0068511B">
        <w:rPr>
          <w:color w:val="000000" w:themeColor="text1"/>
        </w:rPr>
        <w:lastRenderedPageBreak/>
        <w:t xml:space="preserve">La empresa distribuidora publicará anualmente en su sitio de Internet los costos típicos por unidades constructivas usuales para </w:t>
      </w:r>
      <w:r w:rsidR="00CA1DCC" w:rsidRPr="00F2773C">
        <w:rPr>
          <w:color w:val="EE0000"/>
        </w:rPr>
        <w:t>los</w:t>
      </w:r>
      <w:r w:rsidR="00CA1DCC" w:rsidRPr="0068511B">
        <w:rPr>
          <w:color w:val="000000" w:themeColor="text1"/>
        </w:rPr>
        <w:t xml:space="preserve"> </w:t>
      </w:r>
      <w:r w:rsidRPr="0068511B">
        <w:rPr>
          <w:color w:val="000000" w:themeColor="text1"/>
        </w:rPr>
        <w:t>tipo</w:t>
      </w:r>
      <w:r w:rsidR="00CA1DCC" w:rsidRPr="00F2773C">
        <w:rPr>
          <w:color w:val="EE0000"/>
        </w:rPr>
        <w:t>s</w:t>
      </w:r>
      <w:r w:rsidRPr="0068511B">
        <w:rPr>
          <w:color w:val="000000" w:themeColor="text1"/>
        </w:rPr>
        <w:t xml:space="preserve"> de infraestructuras.</w:t>
      </w:r>
    </w:p>
    <w:p w14:paraId="5BEEAB28" w14:textId="77777777" w:rsidR="0094200A" w:rsidRPr="00816A14" w:rsidRDefault="00C63F20" w:rsidP="00AB246C">
      <w:pPr>
        <w:pStyle w:val="Prrafodelista"/>
        <w:numPr>
          <w:ilvl w:val="0"/>
          <w:numId w:val="3"/>
        </w:numPr>
        <w:rPr>
          <w:b/>
          <w:bCs/>
          <w:color w:val="4472C4" w:themeColor="accent1"/>
        </w:rPr>
      </w:pPr>
      <w:r w:rsidRPr="00816A14">
        <w:rPr>
          <w:b/>
          <w:bCs/>
          <w:color w:val="4472C4" w:themeColor="accent1"/>
        </w:rPr>
        <w:t>Donde dice</w:t>
      </w:r>
    </w:p>
    <w:p w14:paraId="5D45DFA6" w14:textId="5CAFB63A" w:rsidR="00C63F20" w:rsidRPr="00C63F20" w:rsidRDefault="00C63F20" w:rsidP="00C63F20">
      <w:pPr>
        <w:rPr>
          <w:color w:val="000000" w:themeColor="text1"/>
        </w:rPr>
      </w:pPr>
      <w:r w:rsidRPr="00C63F20">
        <w:rPr>
          <w:b/>
          <w:bCs/>
          <w:color w:val="000000" w:themeColor="text1"/>
        </w:rPr>
        <w:t>Artículo 9.</w:t>
      </w:r>
      <w:r w:rsidRPr="00C63F20">
        <w:rPr>
          <w:color w:val="000000" w:themeColor="text1"/>
        </w:rPr>
        <w:tab/>
        <w:t>En las infraestructuras donde está restringido el acceso al público en general y el promotor ha instalado un alumbrado de las vías o calles que no cumple con la Norma de Alumbrado Público para Calles y Avenidas de Uso Público y/o no cumple con la norma constructiva de la empresa distribuidora, los costos correrán totalmente por cuenta del promotor. En estos casos, el promotor y/o los residentes de dichas urbanizaciones deberán asumir los costos de operación, mantenimiento y del consumo de energía eléctrica del sistema de iluminación de calles y avenidas, dado que este sistema de alumbrado tendría especificaciones diferentes a las normalizadas. Para esto deberán instalar un medidor separado para el sistema de alumbrado público.</w:t>
      </w:r>
    </w:p>
    <w:p w14:paraId="3C88D7F2" w14:textId="77777777" w:rsidR="00C63F20" w:rsidRDefault="00C63F20" w:rsidP="00C63F20">
      <w:pPr>
        <w:rPr>
          <w:b/>
          <w:bCs/>
          <w:u w:val="single"/>
          <w:lang w:val="es-ES" w:eastAsia="es-ES"/>
        </w:rPr>
      </w:pPr>
      <w:r>
        <w:rPr>
          <w:b/>
          <w:bCs/>
          <w:u w:val="single"/>
          <w:lang w:val="es-ES" w:eastAsia="es-ES"/>
        </w:rPr>
        <w:t>Debe decir</w:t>
      </w:r>
    </w:p>
    <w:p w14:paraId="670343D4" w14:textId="6EB4D1B9" w:rsidR="00C63F20" w:rsidRPr="00C63F20" w:rsidRDefault="00C63F20" w:rsidP="00C63F20">
      <w:pPr>
        <w:rPr>
          <w:color w:val="000000" w:themeColor="text1"/>
        </w:rPr>
      </w:pPr>
      <w:r w:rsidRPr="00C63F20">
        <w:rPr>
          <w:b/>
          <w:bCs/>
          <w:color w:val="000000" w:themeColor="text1"/>
        </w:rPr>
        <w:t>Artículo 9</w:t>
      </w:r>
      <w:r>
        <w:rPr>
          <w:color w:val="000000" w:themeColor="text1"/>
        </w:rPr>
        <w:t>.</w:t>
      </w:r>
      <w:r w:rsidRPr="00C63F20">
        <w:rPr>
          <w:color w:val="000000" w:themeColor="text1"/>
        </w:rPr>
        <w:tab/>
        <w:t>En las infraestructuras donde está restringido el acceso al público en general y el promotor ha instalado un alumbrado de las vías o calles que no cumple con la Norma de Alumbrado Público para Calles y Avenidas de Uso Público y/o no cumple con la norma constructiva de la empresa distribuidora, los costos correrán totalmente por cuenta del promotor. En estos casos, el promotor y/o los residentes de dichas urbanizaciones deberán asumir los costos de operación, mantenimiento y del consumo de energía eléctrica del sistema de iluminación de calles y avenidas, dado que este sistema de alumbrado tendría especificaciones diferentes a las normalizadas. Para esto deberán instalar un medidor separado para el sistema de alumbrado público.</w:t>
      </w:r>
    </w:p>
    <w:p w14:paraId="102F7F19" w14:textId="298D4110" w:rsidR="00C63F20" w:rsidRPr="00143306" w:rsidRDefault="00C63F20" w:rsidP="00C63F20">
      <w:pPr>
        <w:rPr>
          <w:color w:val="EE0000"/>
        </w:rPr>
      </w:pPr>
      <w:r w:rsidRPr="00143306">
        <w:rPr>
          <w:color w:val="EE0000"/>
        </w:rPr>
        <w:t>Así mismo, en los casos en los que las instalaciones tengan características especiales</w:t>
      </w:r>
      <w:r w:rsidR="00747AEF" w:rsidRPr="00143306">
        <w:rPr>
          <w:color w:val="EE0000"/>
        </w:rPr>
        <w:t>,</w:t>
      </w:r>
      <w:r w:rsidRPr="00143306">
        <w:rPr>
          <w:color w:val="EE0000"/>
        </w:rPr>
        <w:t xml:space="preserve"> los costos adicionales a los costos de las construcciones típicas que las empresas distribuidoras construyen para atender solicitudes de servicio de sus clientes y/o no cumple con la norma constructiva de la empresa distribuidora serán cubiertos por el promotor y/o los residentes de dichas urbanizaciones.</w:t>
      </w:r>
    </w:p>
    <w:p w14:paraId="7902B89D" w14:textId="77777777" w:rsidR="00747AEF" w:rsidRDefault="00747AEF" w:rsidP="00C63F20">
      <w:pPr>
        <w:rPr>
          <w:color w:val="000000" w:themeColor="text1"/>
        </w:rPr>
      </w:pPr>
    </w:p>
    <w:p w14:paraId="2BEF942D" w14:textId="1F6DEE42" w:rsidR="00324E4E" w:rsidRPr="00816A14" w:rsidRDefault="00E81BF6" w:rsidP="00B665B6">
      <w:pPr>
        <w:pStyle w:val="Prrafodelista"/>
        <w:numPr>
          <w:ilvl w:val="0"/>
          <w:numId w:val="3"/>
        </w:numPr>
        <w:rPr>
          <w:b/>
          <w:bCs/>
          <w:color w:val="4472C4" w:themeColor="accent1"/>
          <w:lang w:val="es-ES"/>
        </w:rPr>
      </w:pPr>
      <w:r w:rsidRPr="00816A14">
        <w:rPr>
          <w:b/>
          <w:bCs/>
          <w:color w:val="4472C4" w:themeColor="accent1"/>
          <w:lang w:val="es-ES"/>
        </w:rPr>
        <w:t>Donde dice</w:t>
      </w:r>
    </w:p>
    <w:p w14:paraId="21143B5F" w14:textId="1259C7EF" w:rsidR="00324E4E" w:rsidRPr="00F34A1B" w:rsidRDefault="00E81BF6" w:rsidP="00E86233">
      <w:pPr>
        <w:rPr>
          <w:b/>
          <w:bCs/>
          <w:lang w:val="es-ES" w:eastAsia="es-ES"/>
        </w:rPr>
      </w:pPr>
      <w:r>
        <w:rPr>
          <w:b/>
          <w:bCs/>
          <w:lang w:val="es-ES" w:eastAsia="es-ES"/>
        </w:rPr>
        <w:t>Artículo 11.</w:t>
      </w:r>
      <w:r w:rsidR="00324E4E" w:rsidRPr="00F34A1B">
        <w:rPr>
          <w:lang w:val="es-ES" w:eastAsia="es-ES"/>
        </w:rPr>
        <w:t xml:space="preserve"> El promotor y la empresa distribuidora acordarán la modalidad para la construcción de la Línea de Conexión y/o de la Red de Distribución de la infraestructura. Algunas de las modalidades posibles son las siguientes:</w:t>
      </w:r>
    </w:p>
    <w:p w14:paraId="45EAD896" w14:textId="77777777" w:rsidR="00A15753" w:rsidRDefault="00324E4E" w:rsidP="008A0EAF">
      <w:pPr>
        <w:pStyle w:val="Prrafodelista"/>
        <w:numPr>
          <w:ilvl w:val="0"/>
          <w:numId w:val="4"/>
        </w:numPr>
        <w:rPr>
          <w:color w:val="000000"/>
        </w:rPr>
      </w:pPr>
      <w:r w:rsidRPr="00A15753">
        <w:rPr>
          <w:color w:val="000000"/>
        </w:rPr>
        <w:t>La empresa distribuidora responde en forma individual a las solicitudes de los clientes, según lo previsto en el contrato de concesión y las leyes y reglamentaciones pertinentes.</w:t>
      </w:r>
    </w:p>
    <w:p w14:paraId="0647DF11" w14:textId="77777777" w:rsidR="00A15753" w:rsidRDefault="00324E4E" w:rsidP="008A0EAF">
      <w:pPr>
        <w:pStyle w:val="Prrafodelista"/>
        <w:numPr>
          <w:ilvl w:val="0"/>
          <w:numId w:val="4"/>
        </w:numPr>
        <w:rPr>
          <w:color w:val="000000"/>
        </w:rPr>
      </w:pPr>
      <w:r w:rsidRPr="00A15753">
        <w:rPr>
          <w:color w:val="000000"/>
        </w:rPr>
        <w:t>La empresa distribuidora construye la línea de conexión y/o la red de distribución en forma paralela a la construcción o de forma anticipada a la construcción de la infraestructura y solicita una contribución para financiar el proyecto.</w:t>
      </w:r>
    </w:p>
    <w:p w14:paraId="6A92147E" w14:textId="6F4CA346" w:rsidR="00324E4E" w:rsidRPr="00A15753" w:rsidRDefault="00324E4E" w:rsidP="008A0EAF">
      <w:pPr>
        <w:pStyle w:val="Prrafodelista"/>
        <w:numPr>
          <w:ilvl w:val="0"/>
          <w:numId w:val="4"/>
        </w:numPr>
        <w:rPr>
          <w:color w:val="000000"/>
        </w:rPr>
      </w:pPr>
      <w:r w:rsidRPr="009660FC">
        <w:lastRenderedPageBreak/>
        <w:t xml:space="preserve">El Promotor construye la Línea de Conexión y/o la Red de Distribución de la infraestructura y la empresa distribuidora reembolsa al Promotor </w:t>
      </w:r>
      <w:r w:rsidRPr="00A15753">
        <w:rPr>
          <w:color w:val="000000" w:themeColor="text1"/>
        </w:rPr>
        <w:t>el 90% del Costo</w:t>
      </w:r>
      <w:r w:rsidRPr="00A15753">
        <w:rPr>
          <w:b/>
          <w:color w:val="C00000"/>
        </w:rPr>
        <w:t xml:space="preserve"> </w:t>
      </w:r>
      <w:r w:rsidRPr="009660FC">
        <w:t>acordado en el contrato reembolsable</w:t>
      </w:r>
      <w:r w:rsidRPr="00A15753">
        <w:rPr>
          <w:b/>
        </w:rPr>
        <w:t>.</w:t>
      </w:r>
    </w:p>
    <w:p w14:paraId="325D132B" w14:textId="77777777" w:rsidR="00754579" w:rsidRPr="00754579" w:rsidRDefault="00754579" w:rsidP="00754579">
      <w:pPr>
        <w:rPr>
          <w:b/>
          <w:bCs/>
          <w:u w:val="single"/>
          <w:lang w:val="es-ES" w:eastAsia="es-ES"/>
        </w:rPr>
      </w:pPr>
      <w:r w:rsidRPr="00754579">
        <w:rPr>
          <w:b/>
          <w:bCs/>
          <w:u w:val="single"/>
          <w:lang w:val="es-ES" w:eastAsia="es-ES"/>
        </w:rPr>
        <w:t>Debe decir</w:t>
      </w:r>
    </w:p>
    <w:p w14:paraId="03408EF1" w14:textId="77777777" w:rsidR="00793986" w:rsidRPr="00F34A1B" w:rsidRDefault="00793986" w:rsidP="00793986">
      <w:pPr>
        <w:rPr>
          <w:b/>
          <w:bCs/>
          <w:lang w:val="es-ES" w:eastAsia="es-ES"/>
        </w:rPr>
      </w:pPr>
      <w:r>
        <w:rPr>
          <w:b/>
          <w:bCs/>
          <w:lang w:val="es-ES" w:eastAsia="es-ES"/>
        </w:rPr>
        <w:t>Artículo 11.</w:t>
      </w:r>
      <w:r w:rsidRPr="00F34A1B">
        <w:rPr>
          <w:lang w:val="es-ES" w:eastAsia="es-ES"/>
        </w:rPr>
        <w:t xml:space="preserve"> El promotor y la empresa distribuidora acordarán la modalidad para la construcción de la Línea de Conexión y/o de la Red de Distribución de la infraestructura. Algunas de las modalidades posibles son las siguientes:</w:t>
      </w:r>
    </w:p>
    <w:p w14:paraId="5EB86E5E" w14:textId="77777777" w:rsidR="00793986" w:rsidRDefault="00793986" w:rsidP="00793986">
      <w:pPr>
        <w:pStyle w:val="Prrafodelista"/>
        <w:numPr>
          <w:ilvl w:val="0"/>
          <w:numId w:val="13"/>
        </w:numPr>
        <w:rPr>
          <w:color w:val="000000"/>
        </w:rPr>
      </w:pPr>
      <w:r w:rsidRPr="00A15753">
        <w:rPr>
          <w:color w:val="000000"/>
        </w:rPr>
        <w:t>La empresa distribuidora responde en forma individual a las solicitudes de los clientes, según lo previsto en el contrato de concesión y las leyes y reglamentaciones pertinentes.</w:t>
      </w:r>
    </w:p>
    <w:p w14:paraId="646EFC8B" w14:textId="77777777" w:rsidR="00793986" w:rsidRDefault="00793986" w:rsidP="00793986">
      <w:pPr>
        <w:pStyle w:val="Prrafodelista"/>
        <w:numPr>
          <w:ilvl w:val="0"/>
          <w:numId w:val="13"/>
        </w:numPr>
        <w:rPr>
          <w:color w:val="000000"/>
        </w:rPr>
      </w:pPr>
      <w:r w:rsidRPr="00A15753">
        <w:rPr>
          <w:color w:val="000000"/>
        </w:rPr>
        <w:t>La empresa distribuidora construye la línea de conexión y/o la red de distribución en forma paralela a la construcción o de forma anticipada a la construcción de la infraestructura y solicita una contribución para financiar el proyecto.</w:t>
      </w:r>
    </w:p>
    <w:p w14:paraId="10DB3CA9" w14:textId="0D23B038" w:rsidR="00793986" w:rsidRPr="00C37E6C" w:rsidRDefault="00793986" w:rsidP="00793986">
      <w:pPr>
        <w:pStyle w:val="Prrafodelista"/>
        <w:numPr>
          <w:ilvl w:val="0"/>
          <w:numId w:val="13"/>
        </w:numPr>
        <w:rPr>
          <w:color w:val="000000"/>
        </w:rPr>
      </w:pPr>
      <w:r w:rsidRPr="009660FC">
        <w:t xml:space="preserve">El Promotor construye la Línea de Conexión y/o la Red de Distribución de la infraestructura y la empresa distribuidora </w:t>
      </w:r>
      <w:r w:rsidR="00E5065A" w:rsidRPr="00C37E6C">
        <w:rPr>
          <w:color w:val="EE0000"/>
        </w:rPr>
        <w:t>verifica que la construcción cumpla con los requisitos de conexión a las redes existentes, una vez cumplidos estos requisitos aprueba la conexión y</w:t>
      </w:r>
      <w:r w:rsidR="002E71EB">
        <w:rPr>
          <w:color w:val="EE0000"/>
        </w:rPr>
        <w:t>,</w:t>
      </w:r>
      <w:r w:rsidR="00E5065A" w:rsidRPr="00C37E6C">
        <w:rPr>
          <w:color w:val="EE0000"/>
        </w:rPr>
        <w:t xml:space="preserve"> posteriormente</w:t>
      </w:r>
      <w:r w:rsidR="002E71EB">
        <w:rPr>
          <w:color w:val="EE0000"/>
        </w:rPr>
        <w:t>,</w:t>
      </w:r>
      <w:r w:rsidR="00E5065A">
        <w:t xml:space="preserve"> </w:t>
      </w:r>
      <w:r w:rsidRPr="009660FC">
        <w:t xml:space="preserve">reembolsa al Promotor </w:t>
      </w:r>
      <w:r w:rsidRPr="00A15753">
        <w:rPr>
          <w:color w:val="000000" w:themeColor="text1"/>
        </w:rPr>
        <w:t>el 90% del Costo</w:t>
      </w:r>
      <w:r w:rsidRPr="00A15753">
        <w:rPr>
          <w:b/>
          <w:color w:val="C00000"/>
        </w:rPr>
        <w:t xml:space="preserve"> </w:t>
      </w:r>
      <w:r w:rsidR="008A4050">
        <w:t>establecido</w:t>
      </w:r>
      <w:r w:rsidR="008A4050" w:rsidRPr="009660FC">
        <w:t xml:space="preserve"> </w:t>
      </w:r>
      <w:r w:rsidRPr="009660FC">
        <w:t>en el contrato reembolsable</w:t>
      </w:r>
      <w:r w:rsidRPr="00A15753">
        <w:rPr>
          <w:b/>
        </w:rPr>
        <w:t>.</w:t>
      </w:r>
    </w:p>
    <w:p w14:paraId="6E5D27AC" w14:textId="1A7D5F11" w:rsidR="00760692" w:rsidRPr="00C37E6C" w:rsidRDefault="00760692" w:rsidP="00793986">
      <w:pPr>
        <w:pStyle w:val="Prrafodelista"/>
        <w:numPr>
          <w:ilvl w:val="0"/>
          <w:numId w:val="13"/>
        </w:numPr>
        <w:rPr>
          <w:color w:val="EE0000"/>
        </w:rPr>
      </w:pPr>
      <w:r w:rsidRPr="00C37E6C">
        <w:rPr>
          <w:color w:val="EE0000"/>
        </w:rPr>
        <w:t xml:space="preserve">Para los casos en los que los lotes, urbanizaciones y otras infraestructuras tengan un índice de ocupación predial o </w:t>
      </w:r>
      <w:r w:rsidR="00082373">
        <w:rPr>
          <w:color w:val="EE0000"/>
        </w:rPr>
        <w:t xml:space="preserve">de </w:t>
      </w:r>
      <w:r w:rsidRPr="00C37E6C">
        <w:rPr>
          <w:color w:val="EE0000"/>
        </w:rPr>
        <w:t xml:space="preserve">habitabilidad menor a </w:t>
      </w:r>
      <w:r w:rsidR="006335E7">
        <w:rPr>
          <w:color w:val="EE0000"/>
        </w:rPr>
        <w:t>cincuenta</w:t>
      </w:r>
      <w:r w:rsidRPr="00C37E6C">
        <w:rPr>
          <w:color w:val="EE0000"/>
        </w:rPr>
        <w:t xml:space="preserve"> por ciento (</w:t>
      </w:r>
      <w:r w:rsidR="006335E7">
        <w:rPr>
          <w:color w:val="EE0000"/>
        </w:rPr>
        <w:t>5</w:t>
      </w:r>
      <w:r w:rsidRPr="00C37E6C">
        <w:rPr>
          <w:color w:val="EE0000"/>
        </w:rPr>
        <w:t xml:space="preserve">0%) la construcción </w:t>
      </w:r>
      <w:r w:rsidR="005C32DB" w:rsidRPr="00C37E6C">
        <w:rPr>
          <w:color w:val="EE0000"/>
        </w:rPr>
        <w:t xml:space="preserve">o el financiamiento de esta infraestructura </w:t>
      </w:r>
      <w:r w:rsidRPr="00C37E6C">
        <w:rPr>
          <w:color w:val="EE0000"/>
        </w:rPr>
        <w:t>deberá ser realizad</w:t>
      </w:r>
      <w:r w:rsidR="005C32DB" w:rsidRPr="00C37E6C">
        <w:rPr>
          <w:color w:val="EE0000"/>
        </w:rPr>
        <w:t>o</w:t>
      </w:r>
      <w:r w:rsidRPr="00C37E6C">
        <w:rPr>
          <w:color w:val="EE0000"/>
        </w:rPr>
        <w:t xml:space="preserve"> por el promotor o los interesados y la devolución estará sujeta a lo establecido en el artículo </w:t>
      </w:r>
      <w:r w:rsidR="005C32DB" w:rsidRPr="00C37E6C">
        <w:rPr>
          <w:color w:val="EE0000"/>
        </w:rPr>
        <w:t>1</w:t>
      </w:r>
      <w:r w:rsidRPr="00C37E6C">
        <w:rPr>
          <w:color w:val="EE0000"/>
        </w:rPr>
        <w:t>2 de este Título del RDC.</w:t>
      </w:r>
    </w:p>
    <w:p w14:paraId="6287BE34" w14:textId="77777777" w:rsidR="005C32DB" w:rsidRPr="00A15753" w:rsidRDefault="005C32DB" w:rsidP="00450E7A">
      <w:pPr>
        <w:pStyle w:val="Prrafodelista"/>
        <w:rPr>
          <w:color w:val="000000"/>
        </w:rPr>
      </w:pPr>
    </w:p>
    <w:p w14:paraId="0C66B902" w14:textId="18FEF76B" w:rsidR="00754579" w:rsidRPr="00816A14" w:rsidRDefault="00754579" w:rsidP="00450E7A">
      <w:pPr>
        <w:pStyle w:val="Prrafodelista"/>
        <w:numPr>
          <w:ilvl w:val="0"/>
          <w:numId w:val="3"/>
        </w:numPr>
        <w:rPr>
          <w:b/>
          <w:bCs/>
          <w:color w:val="4472C4" w:themeColor="accent1"/>
          <w:lang w:val="es-ES" w:eastAsia="es-ES"/>
        </w:rPr>
      </w:pPr>
      <w:r w:rsidRPr="00816A14">
        <w:rPr>
          <w:b/>
          <w:bCs/>
          <w:color w:val="4472C4" w:themeColor="accent1"/>
          <w:lang w:val="es-ES" w:eastAsia="es-ES"/>
        </w:rPr>
        <w:t>Donde dice</w:t>
      </w:r>
    </w:p>
    <w:p w14:paraId="01292528" w14:textId="230906EF" w:rsidR="00324E4E" w:rsidRPr="00F34A1B" w:rsidRDefault="00754579" w:rsidP="00E86233">
      <w:pPr>
        <w:rPr>
          <w:b/>
          <w:bCs/>
          <w:lang w:val="es-ES" w:eastAsia="es-ES"/>
        </w:rPr>
      </w:pPr>
      <w:r>
        <w:rPr>
          <w:b/>
          <w:bCs/>
          <w:lang w:val="es-ES" w:eastAsia="es-ES"/>
        </w:rPr>
        <w:t xml:space="preserve">Artículo 12. </w:t>
      </w:r>
      <w:r w:rsidR="00324E4E" w:rsidRPr="00F34A1B">
        <w:rPr>
          <w:lang w:val="es-ES" w:eastAsia="es-ES"/>
        </w:rPr>
        <w:t>Los acuerdos a que lleguen el promotor y la empresa distribuidora, respecto a las modalidades de construcción y los reembolsos, deben formalizarse mediante un Contrato, el cual debe considerar los criterios de reembolsos siguientes:</w:t>
      </w:r>
    </w:p>
    <w:p w14:paraId="5245F239" w14:textId="77777777" w:rsidR="00754579" w:rsidRDefault="00324E4E" w:rsidP="008A0EAF">
      <w:pPr>
        <w:pStyle w:val="Prrafodelista"/>
        <w:numPr>
          <w:ilvl w:val="0"/>
          <w:numId w:val="5"/>
        </w:numPr>
        <w:rPr>
          <w:color w:val="000000" w:themeColor="text1"/>
        </w:rPr>
      </w:pPr>
      <w:r w:rsidRPr="00754579">
        <w:rPr>
          <w:color w:val="000000" w:themeColor="text1"/>
        </w:rPr>
        <w:t>Cuando una infraestructura se construye con estándares distintos al típico de la red de distribución para esa área, se reembolsará la inversión al costo de las unidades constructivas típicas.  El tipo de instalaciones, tanto para la línea de conexión como para la red de distribución, será la que corresponda según la red existente en la zona, a las necesidades propias previstas para la infraestructura y/o a la legislación que aplique.  En caso de requerirse instalaciones con capacidades mayores o distintas a los estándares de construcción, las diferencias de costos originadas por los mismos deberán ser cubiertas por el responsable del requerimiento, ya sea la empresa distribuidora o el promotor. No se le podrán incluir al Promotor exigencias que no sean las que se requieran para el proyecto a realizar.</w:t>
      </w:r>
    </w:p>
    <w:p w14:paraId="19090104" w14:textId="77777777" w:rsidR="00060A59" w:rsidRDefault="00060A59" w:rsidP="00060A59">
      <w:pPr>
        <w:pStyle w:val="Prrafodelista"/>
        <w:ind w:left="360"/>
        <w:rPr>
          <w:color w:val="000000" w:themeColor="text1"/>
        </w:rPr>
      </w:pPr>
    </w:p>
    <w:p w14:paraId="626CE2C1" w14:textId="003A2910" w:rsidR="00324E4E" w:rsidRDefault="00324E4E" w:rsidP="008A0EAF">
      <w:pPr>
        <w:pStyle w:val="Prrafodelista"/>
        <w:numPr>
          <w:ilvl w:val="0"/>
          <w:numId w:val="5"/>
        </w:numPr>
        <w:rPr>
          <w:color w:val="000000" w:themeColor="text1"/>
        </w:rPr>
      </w:pPr>
      <w:r w:rsidRPr="00754579">
        <w:rPr>
          <w:color w:val="000000" w:themeColor="text1"/>
        </w:rPr>
        <w:t xml:space="preserve">Cuando la empresa distribuidora solicita una contribución reembolsable para financiar el proyecto o cuando el Promotor sea el que realice el diseño y la construcción del proyecto </w:t>
      </w:r>
      <w:r w:rsidRPr="00754579">
        <w:rPr>
          <w:color w:val="000000" w:themeColor="text1"/>
        </w:rPr>
        <w:lastRenderedPageBreak/>
        <w:t>(lotes servidos, urbanizaciones u otras infraestructuras) se deberá establecer en el Contrato la forma del reembolso con el siguiente esquema:</w:t>
      </w:r>
    </w:p>
    <w:p w14:paraId="12613F61" w14:textId="77777777" w:rsidR="00BF0831" w:rsidRPr="00754579" w:rsidRDefault="00BF0831" w:rsidP="00BF0831">
      <w:pPr>
        <w:pStyle w:val="Prrafodelista"/>
        <w:rPr>
          <w:color w:val="000000" w:themeColor="text1"/>
        </w:rPr>
      </w:pPr>
    </w:p>
    <w:p w14:paraId="0669847A" w14:textId="77777777" w:rsidR="00754579" w:rsidRDefault="00324E4E" w:rsidP="008A0EAF">
      <w:pPr>
        <w:pStyle w:val="Prrafodelista"/>
        <w:numPr>
          <w:ilvl w:val="0"/>
          <w:numId w:val="6"/>
        </w:numPr>
      </w:pPr>
      <w:r w:rsidRPr="00A5796D">
        <w:t>En el caso de infraestructura aérea:</w:t>
      </w:r>
    </w:p>
    <w:p w14:paraId="45FB747B" w14:textId="77777777" w:rsidR="00BF0831" w:rsidRDefault="00BF0831" w:rsidP="00BF0831">
      <w:pPr>
        <w:pStyle w:val="Prrafodelista"/>
        <w:ind w:left="1080"/>
      </w:pPr>
    </w:p>
    <w:p w14:paraId="2E7D6240" w14:textId="77777777" w:rsidR="00754579" w:rsidRDefault="00324E4E" w:rsidP="008A0EAF">
      <w:pPr>
        <w:pStyle w:val="Prrafodelista"/>
        <w:numPr>
          <w:ilvl w:val="0"/>
          <w:numId w:val="7"/>
        </w:numPr>
      </w:pPr>
      <w:r w:rsidRPr="00A5796D">
        <w:t>Cuatro (4) pagos anuales consecutivos correspondientes al 25% del Costo establecido en el contrato reembolsable, a más tardar en el mes de febrero de cada año, a partir de que la obra haya concluido y se haya iniciado el proceso de energización del proyecto.</w:t>
      </w:r>
    </w:p>
    <w:p w14:paraId="6546ABF3" w14:textId="77777777" w:rsidR="00BF0831" w:rsidRDefault="00BF0831" w:rsidP="00BF0831">
      <w:pPr>
        <w:pStyle w:val="Prrafodelista"/>
        <w:ind w:left="1800"/>
      </w:pPr>
    </w:p>
    <w:p w14:paraId="027863CB" w14:textId="77777777" w:rsidR="00754579" w:rsidRDefault="00324E4E" w:rsidP="00514CD2">
      <w:pPr>
        <w:pStyle w:val="Prrafodelista"/>
        <w:numPr>
          <w:ilvl w:val="0"/>
          <w:numId w:val="6"/>
        </w:numPr>
      </w:pPr>
      <w:r w:rsidRPr="00A5796D">
        <w:t>En el caso de infraestructura soterrada:</w:t>
      </w:r>
    </w:p>
    <w:p w14:paraId="5556D93C" w14:textId="77777777" w:rsidR="00BF0831" w:rsidRDefault="00BF0831" w:rsidP="00BF0831">
      <w:pPr>
        <w:pStyle w:val="Prrafodelista"/>
        <w:ind w:left="1080"/>
      </w:pPr>
    </w:p>
    <w:p w14:paraId="2D23BD3C" w14:textId="77777777" w:rsidR="00D66591" w:rsidRDefault="00324E4E" w:rsidP="008A0EAF">
      <w:pPr>
        <w:pStyle w:val="Prrafodelista"/>
        <w:numPr>
          <w:ilvl w:val="0"/>
          <w:numId w:val="7"/>
        </w:numPr>
      </w:pPr>
      <w:r w:rsidRPr="00A5796D">
        <w:t>Seis (6) pagos anuales consecutivos correspondientes al 15% del Costo establecido en el contrato reembolsable, a más tardar en el mes de febrero de cada año, a partir de que la obra haya concluido y se haya iniciado el proceso de energización del proyecto.</w:t>
      </w:r>
    </w:p>
    <w:p w14:paraId="75673406" w14:textId="77777777" w:rsidR="00D66591" w:rsidRDefault="00324E4E" w:rsidP="008A0EAF">
      <w:pPr>
        <w:pStyle w:val="Prrafodelista"/>
        <w:numPr>
          <w:ilvl w:val="0"/>
          <w:numId w:val="7"/>
        </w:numPr>
      </w:pPr>
      <w:r w:rsidRPr="00A5796D">
        <w:t>Un séptimo pago anual correspondiente al 10% del Costo Equivalente del Proyecto.</w:t>
      </w:r>
    </w:p>
    <w:p w14:paraId="7ADB1B15" w14:textId="1FF25F90" w:rsidR="00760692" w:rsidRPr="00A5796D" w:rsidRDefault="00324E4E" w:rsidP="00060A59">
      <w:pPr>
        <w:ind w:left="360"/>
      </w:pPr>
      <w:r w:rsidRPr="00A5796D">
        <w:t>En ambos casos el reembolso se hará hasta completar el monto total establecido en el Contrato.</w:t>
      </w:r>
    </w:p>
    <w:p w14:paraId="77C9F645" w14:textId="77777777" w:rsidR="00D66591" w:rsidRPr="00BF0831" w:rsidRDefault="00324E4E" w:rsidP="008A0EAF">
      <w:pPr>
        <w:pStyle w:val="Prrafodelista"/>
        <w:numPr>
          <w:ilvl w:val="0"/>
          <w:numId w:val="5"/>
        </w:numPr>
        <w:rPr>
          <w:color w:val="000000"/>
        </w:rPr>
      </w:pPr>
      <w:r w:rsidRPr="00D66591">
        <w:rPr>
          <w:color w:val="000000" w:themeColor="text1"/>
        </w:rPr>
        <w:t>La empresa distribuidora deberá cumplir oportunamente con el reembolso establecido por este RDC. En caso que la empresa distribuidora demore con el reembolso establecido deberá pagar intereses anuales sobre la suma pendiente a reembolsar hasta que cumpla con el mismo.</w:t>
      </w:r>
    </w:p>
    <w:p w14:paraId="5F5EA23D" w14:textId="77777777" w:rsidR="00BF0831" w:rsidRPr="00D66591" w:rsidRDefault="00BF0831" w:rsidP="00BF0831">
      <w:pPr>
        <w:pStyle w:val="Prrafodelista"/>
        <w:rPr>
          <w:color w:val="000000"/>
        </w:rPr>
      </w:pPr>
    </w:p>
    <w:p w14:paraId="64D0DA02" w14:textId="77777777" w:rsidR="00D66591" w:rsidRDefault="00324E4E" w:rsidP="00060A59">
      <w:pPr>
        <w:pStyle w:val="Prrafodelista"/>
        <w:ind w:left="360"/>
        <w:rPr>
          <w:color w:val="000000"/>
        </w:rPr>
      </w:pPr>
      <w:r w:rsidRPr="00D66591">
        <w:rPr>
          <w:szCs w:val="23"/>
        </w:rPr>
        <w:t xml:space="preserve">Los intereses serán calculados con la tasa de interés anual promedio de los seis (6) meses anteriores sobre préstamos comerciales </w:t>
      </w:r>
      <w:r w:rsidRPr="00D66591">
        <w:rPr>
          <w:bCs/>
          <w:szCs w:val="23"/>
        </w:rPr>
        <w:t>de empresas al por mayor</w:t>
      </w:r>
      <w:r w:rsidRPr="00D66591">
        <w:rPr>
          <w:szCs w:val="23"/>
        </w:rPr>
        <w:t xml:space="preserve"> en el país. </w:t>
      </w:r>
      <w:proofErr w:type="gramStart"/>
      <w:r w:rsidRPr="00D66591">
        <w:rPr>
          <w:szCs w:val="23"/>
        </w:rPr>
        <w:t>La tasa a aplicar</w:t>
      </w:r>
      <w:proofErr w:type="gramEnd"/>
      <w:r w:rsidRPr="00D66591">
        <w:rPr>
          <w:szCs w:val="23"/>
        </w:rPr>
        <w:t xml:space="preserve"> será el promedio de las tasas del semestre anterior </w:t>
      </w:r>
      <w:r w:rsidRPr="00D66591">
        <w:rPr>
          <w:bCs/>
          <w:szCs w:val="23"/>
        </w:rPr>
        <w:t>que estén disponibles</w:t>
      </w:r>
      <w:r w:rsidRPr="00D66591">
        <w:rPr>
          <w:szCs w:val="23"/>
        </w:rPr>
        <w:t>, sobre la base de la información oficial suministrada por la Superintendencia de Bancos de Panamá. Los semestres quedan definidos del primero (1°)</w:t>
      </w:r>
      <w:r w:rsidRPr="00D66591">
        <w:rPr>
          <w:b/>
          <w:szCs w:val="23"/>
        </w:rPr>
        <w:t xml:space="preserve"> </w:t>
      </w:r>
      <w:r w:rsidRPr="00D66591">
        <w:rPr>
          <w:szCs w:val="23"/>
        </w:rPr>
        <w:t>de enero al treinta (30) de junio y del primero (1°) de julio al treinta y uno (31) de diciembre</w:t>
      </w:r>
      <w:r w:rsidRPr="00D66591">
        <w:rPr>
          <w:color w:val="000000"/>
        </w:rPr>
        <w:t>.</w:t>
      </w:r>
    </w:p>
    <w:p w14:paraId="620813C9" w14:textId="77777777" w:rsidR="00BF0831" w:rsidRPr="00D66591" w:rsidRDefault="00BF0831" w:rsidP="00D66591">
      <w:pPr>
        <w:pStyle w:val="Prrafodelista"/>
        <w:rPr>
          <w:color w:val="000000" w:themeColor="text1"/>
        </w:rPr>
      </w:pPr>
    </w:p>
    <w:p w14:paraId="68C130F3" w14:textId="77777777" w:rsidR="00D66591" w:rsidRDefault="00324E4E" w:rsidP="008A0EAF">
      <w:pPr>
        <w:pStyle w:val="Prrafodelista"/>
        <w:numPr>
          <w:ilvl w:val="0"/>
          <w:numId w:val="5"/>
        </w:numPr>
        <w:rPr>
          <w:color w:val="000000" w:themeColor="text1"/>
        </w:rPr>
      </w:pPr>
      <w:r w:rsidRPr="00D66591">
        <w:rPr>
          <w:color w:val="000000" w:themeColor="text1"/>
        </w:rPr>
        <w:t>Cualquier discrepancia o reclamación referente a los reembolsos, la ASEP actuará como dirimente.</w:t>
      </w:r>
    </w:p>
    <w:p w14:paraId="023327A1" w14:textId="77777777" w:rsidR="00BF0831" w:rsidRDefault="00BF0831" w:rsidP="00BF0831">
      <w:pPr>
        <w:pStyle w:val="Prrafodelista"/>
        <w:rPr>
          <w:color w:val="000000" w:themeColor="text1"/>
        </w:rPr>
      </w:pPr>
    </w:p>
    <w:p w14:paraId="1FF5FA79" w14:textId="567FC533" w:rsidR="00324E4E" w:rsidRPr="00D66591" w:rsidRDefault="00324E4E" w:rsidP="008A0EAF">
      <w:pPr>
        <w:pStyle w:val="Prrafodelista"/>
        <w:numPr>
          <w:ilvl w:val="0"/>
          <w:numId w:val="5"/>
        </w:numPr>
        <w:rPr>
          <w:color w:val="000000" w:themeColor="text1"/>
        </w:rPr>
      </w:pPr>
      <w:r w:rsidRPr="00D66591">
        <w:rPr>
          <w:color w:val="000000" w:themeColor="text1"/>
        </w:rPr>
        <w:t>La empresa distribuidora deberá cumplir con los tiempos máximos de construcción de las líneas eléctricas en función de la magnitud de los proyectos, para aquellos proyectos donde la empresa distribuidora asumirá la responsabilidad de la construcción.</w:t>
      </w:r>
    </w:p>
    <w:p w14:paraId="00E6D807" w14:textId="77777777" w:rsidR="00D66591" w:rsidRPr="00D66591" w:rsidRDefault="00D66591" w:rsidP="00D66591">
      <w:pPr>
        <w:rPr>
          <w:b/>
          <w:bCs/>
          <w:u w:val="single"/>
          <w:lang w:val="es-ES" w:eastAsia="es-ES"/>
        </w:rPr>
      </w:pPr>
      <w:r w:rsidRPr="00D66591">
        <w:rPr>
          <w:b/>
          <w:bCs/>
          <w:u w:val="single"/>
          <w:lang w:val="es-ES" w:eastAsia="es-ES"/>
        </w:rPr>
        <w:t>Debe decir</w:t>
      </w:r>
    </w:p>
    <w:p w14:paraId="5BEB838E" w14:textId="77777777" w:rsidR="00793986" w:rsidRPr="00F34A1B" w:rsidRDefault="00793986" w:rsidP="00793986">
      <w:pPr>
        <w:rPr>
          <w:b/>
          <w:bCs/>
          <w:lang w:val="es-ES" w:eastAsia="es-ES"/>
        </w:rPr>
      </w:pPr>
      <w:r>
        <w:rPr>
          <w:b/>
          <w:bCs/>
          <w:lang w:val="es-ES" w:eastAsia="es-ES"/>
        </w:rPr>
        <w:lastRenderedPageBreak/>
        <w:t xml:space="preserve">Artículo 12. </w:t>
      </w:r>
      <w:r w:rsidRPr="00F34A1B">
        <w:rPr>
          <w:lang w:val="es-ES" w:eastAsia="es-ES"/>
        </w:rPr>
        <w:t>Los acuerdos a que lleguen el promotor y la empresa distribuidora, respecto a las modalidades de construcción y los reembolsos, deben formalizarse mediante un Contrato, el cual debe considerar los criterios de reembolsos siguientes:</w:t>
      </w:r>
    </w:p>
    <w:p w14:paraId="7522BE6B" w14:textId="6CC68DFF" w:rsidR="00793986" w:rsidRDefault="00793986" w:rsidP="00514CD2">
      <w:pPr>
        <w:pStyle w:val="Prrafodelista"/>
        <w:numPr>
          <w:ilvl w:val="0"/>
          <w:numId w:val="17"/>
        </w:numPr>
        <w:ind w:left="360"/>
        <w:rPr>
          <w:color w:val="000000" w:themeColor="text1"/>
        </w:rPr>
      </w:pPr>
      <w:r w:rsidRPr="00754579">
        <w:rPr>
          <w:color w:val="000000" w:themeColor="text1"/>
        </w:rPr>
        <w:t>Cuando una infraestructura se construye con estándares distintos al típico de la red de distribución para esa área, se reembolsará la inversión al costo de las unidades constructivas típicas.  El tipo de instalaciones, tanto para la línea de conexión como para la red de distribución, será la que corresponda según la red existente en la zona, a las necesidades propias previstas para la infraestructura y/o a la legislación que aplique.  En caso de requerirse instalaciones con capacidades mayores o distintas a los estándares de construcción</w:t>
      </w:r>
      <w:r w:rsidR="00CD1356">
        <w:rPr>
          <w:color w:val="000000" w:themeColor="text1"/>
        </w:rPr>
        <w:t xml:space="preserve"> </w:t>
      </w:r>
      <w:r w:rsidR="00CD1356" w:rsidRPr="00CD1356">
        <w:rPr>
          <w:color w:val="C00000"/>
        </w:rPr>
        <w:t>o soterradas</w:t>
      </w:r>
      <w:r w:rsidRPr="00754579">
        <w:rPr>
          <w:color w:val="000000" w:themeColor="text1"/>
        </w:rPr>
        <w:t>, las diferencias de costos originadas por los mismos deberán ser cubiertas por el responsable del requerimiento, ya sea la empresa distribuidora o el promotor. No se le podrán incluir al Promotor exigencias que no sean las que se requieran para el proyecto a realizar.</w:t>
      </w:r>
    </w:p>
    <w:p w14:paraId="441E2676" w14:textId="77777777" w:rsidR="00361029" w:rsidRDefault="00361029" w:rsidP="00514CD2">
      <w:pPr>
        <w:pStyle w:val="Prrafodelista"/>
        <w:ind w:left="360"/>
        <w:rPr>
          <w:color w:val="000000" w:themeColor="text1"/>
        </w:rPr>
      </w:pPr>
    </w:p>
    <w:p w14:paraId="50EFF4EC" w14:textId="77777777" w:rsidR="00793986" w:rsidRDefault="00793986" w:rsidP="00514CD2">
      <w:pPr>
        <w:pStyle w:val="Prrafodelista"/>
        <w:numPr>
          <w:ilvl w:val="0"/>
          <w:numId w:val="17"/>
        </w:numPr>
        <w:ind w:left="360"/>
        <w:rPr>
          <w:color w:val="000000" w:themeColor="text1"/>
        </w:rPr>
      </w:pPr>
      <w:r w:rsidRPr="00754579">
        <w:rPr>
          <w:color w:val="000000" w:themeColor="text1"/>
        </w:rPr>
        <w:t>Cuando la empresa distribuidora solicita una contribución reembolsable para financiar el proyecto o cuando el Promotor sea el que realice el diseño y la construcción del proyecto (lotes servidos, urbanizaciones u otras infraestructuras) se deberá establecer en el Contrato la forma del reembolso con el siguiente esquema:</w:t>
      </w:r>
    </w:p>
    <w:p w14:paraId="21BBCF52" w14:textId="77777777" w:rsidR="00BF0831" w:rsidRPr="00754579" w:rsidRDefault="00BF0831" w:rsidP="00BF0831">
      <w:pPr>
        <w:pStyle w:val="Prrafodelista"/>
        <w:rPr>
          <w:color w:val="000000" w:themeColor="text1"/>
        </w:rPr>
      </w:pPr>
    </w:p>
    <w:p w14:paraId="65A5CDB1" w14:textId="3A76E48E" w:rsidR="00793986" w:rsidRDefault="00793986" w:rsidP="006E335F">
      <w:pPr>
        <w:pStyle w:val="Prrafodelista"/>
        <w:numPr>
          <w:ilvl w:val="0"/>
          <w:numId w:val="21"/>
        </w:numPr>
      </w:pPr>
      <w:r w:rsidRPr="00A5796D">
        <w:t xml:space="preserve">Cuatro (4) pagos anuales consecutivos correspondientes al 25% del </w:t>
      </w:r>
      <w:r w:rsidR="00A94B57">
        <w:t>c</w:t>
      </w:r>
      <w:r w:rsidRPr="00A5796D">
        <w:t>osto establecido en el contrato reembolsable, a más tardar en el mes de febrero de cada año, a partir de que la obra haya concluido y se haya iniciado el proceso de energización del proyecto.</w:t>
      </w:r>
    </w:p>
    <w:p w14:paraId="103E60B6" w14:textId="0C15D451" w:rsidR="001F13A6" w:rsidRPr="001F13A6" w:rsidRDefault="001F13A6" w:rsidP="001F13A6">
      <w:pPr>
        <w:pStyle w:val="Prrafodelista"/>
        <w:numPr>
          <w:ilvl w:val="0"/>
          <w:numId w:val="21"/>
        </w:numPr>
        <w:rPr>
          <w:color w:val="EE0000"/>
          <w:lang w:eastAsia="es-ES"/>
        </w:rPr>
      </w:pPr>
      <w:r w:rsidRPr="001F13A6">
        <w:rPr>
          <w:color w:val="EE0000"/>
        </w:rPr>
        <w:t xml:space="preserve">La aplicación de la devolución estará sujeta a que los lotes, urbanizaciones y otras infraestructuras tengan un índice de ocupación predial o habitabilidad mayor o igual a </w:t>
      </w:r>
      <w:r w:rsidR="00FA689E">
        <w:rPr>
          <w:color w:val="EE0000"/>
        </w:rPr>
        <w:t>cincuenta</w:t>
      </w:r>
      <w:r w:rsidRPr="001F13A6">
        <w:rPr>
          <w:color w:val="EE0000"/>
        </w:rPr>
        <w:t xml:space="preserve"> por ciento (</w:t>
      </w:r>
      <w:r w:rsidR="00FA689E">
        <w:rPr>
          <w:color w:val="EE0000"/>
        </w:rPr>
        <w:t>5</w:t>
      </w:r>
      <w:r w:rsidRPr="001F13A6">
        <w:rPr>
          <w:color w:val="EE0000"/>
        </w:rPr>
        <w:t>0%), en caso de que el porcentaje sea menor, la devolución se realizará a partir del momento en el que se alcance este porcentaje establecido.</w:t>
      </w:r>
    </w:p>
    <w:p w14:paraId="49703B52" w14:textId="77777777" w:rsidR="0059754E" w:rsidRPr="0059754E" w:rsidRDefault="0059754E" w:rsidP="0059754E">
      <w:pPr>
        <w:pStyle w:val="Prrafodelista"/>
        <w:ind w:left="360"/>
        <w:rPr>
          <w:color w:val="000000"/>
        </w:rPr>
      </w:pPr>
    </w:p>
    <w:p w14:paraId="3A17DAAC" w14:textId="65C81F93" w:rsidR="00793986" w:rsidRPr="00115D02" w:rsidRDefault="00793986" w:rsidP="00115D02">
      <w:pPr>
        <w:pStyle w:val="Prrafodelista"/>
        <w:numPr>
          <w:ilvl w:val="0"/>
          <w:numId w:val="17"/>
        </w:numPr>
        <w:ind w:left="360"/>
        <w:rPr>
          <w:color w:val="000000"/>
        </w:rPr>
      </w:pPr>
      <w:r w:rsidRPr="00D66591">
        <w:rPr>
          <w:color w:val="000000" w:themeColor="text1"/>
        </w:rPr>
        <w:t xml:space="preserve">La empresa distribuidora deberá cumplir oportunamente con el reembolso establecido por este RDC. En caso </w:t>
      </w:r>
      <w:r w:rsidR="00CD4229" w:rsidRPr="007B0253">
        <w:rPr>
          <w:color w:val="EE0000"/>
        </w:rPr>
        <w:t xml:space="preserve">de </w:t>
      </w:r>
      <w:r w:rsidRPr="00D66591">
        <w:rPr>
          <w:color w:val="000000" w:themeColor="text1"/>
        </w:rPr>
        <w:t>que la empresa distribuidora demore con el reembolso establecido</w:t>
      </w:r>
      <w:r w:rsidR="00CA336B">
        <w:rPr>
          <w:color w:val="000000" w:themeColor="text1"/>
        </w:rPr>
        <w:t xml:space="preserve">, </w:t>
      </w:r>
      <w:r w:rsidR="00CA336B" w:rsidRPr="007B0253">
        <w:rPr>
          <w:color w:val="EE0000"/>
        </w:rPr>
        <w:t>la misma</w:t>
      </w:r>
      <w:r w:rsidRPr="007B0253">
        <w:rPr>
          <w:color w:val="EE0000"/>
        </w:rPr>
        <w:t xml:space="preserve"> </w:t>
      </w:r>
      <w:r w:rsidRPr="00D66591">
        <w:rPr>
          <w:color w:val="000000" w:themeColor="text1"/>
        </w:rPr>
        <w:t>deberá pagar intereses anuales sobre la suma pendiente a reembolsar hasta que cumpla con el mismo.</w:t>
      </w:r>
    </w:p>
    <w:p w14:paraId="211BCFF6" w14:textId="77777777" w:rsidR="00115D02" w:rsidRPr="00D66591" w:rsidRDefault="00115D02" w:rsidP="00115D02">
      <w:pPr>
        <w:pStyle w:val="Prrafodelista"/>
        <w:ind w:left="360"/>
        <w:rPr>
          <w:color w:val="000000"/>
        </w:rPr>
      </w:pPr>
    </w:p>
    <w:p w14:paraId="402CCB21" w14:textId="021E47F3" w:rsidR="00793986" w:rsidRDefault="00793986" w:rsidP="00115D02">
      <w:pPr>
        <w:pStyle w:val="Prrafodelista"/>
        <w:ind w:left="360"/>
        <w:rPr>
          <w:color w:val="000000"/>
        </w:rPr>
      </w:pPr>
      <w:r w:rsidRPr="00D66591">
        <w:rPr>
          <w:szCs w:val="23"/>
        </w:rPr>
        <w:t xml:space="preserve">Los intereses serán calculados con la tasa de interés anual promedio de los seis (6) meses anteriores sobre préstamos comerciales </w:t>
      </w:r>
      <w:r w:rsidRPr="00D66591">
        <w:rPr>
          <w:bCs/>
          <w:szCs w:val="23"/>
        </w:rPr>
        <w:t>de empresas al por mayor</w:t>
      </w:r>
      <w:r w:rsidRPr="00D66591">
        <w:rPr>
          <w:szCs w:val="23"/>
        </w:rPr>
        <w:t xml:space="preserve"> en el país. </w:t>
      </w:r>
      <w:r w:rsidR="00D32786" w:rsidRPr="00D66591">
        <w:rPr>
          <w:szCs w:val="23"/>
        </w:rPr>
        <w:t>La tasa para aplicar</w:t>
      </w:r>
      <w:r w:rsidRPr="00D66591">
        <w:rPr>
          <w:szCs w:val="23"/>
        </w:rPr>
        <w:t xml:space="preserve"> será el promedio de las tasas del semestre anterior </w:t>
      </w:r>
      <w:r w:rsidRPr="00D66591">
        <w:rPr>
          <w:bCs/>
          <w:szCs w:val="23"/>
        </w:rPr>
        <w:t>que estén disponibles</w:t>
      </w:r>
      <w:r w:rsidRPr="00D66591">
        <w:rPr>
          <w:szCs w:val="23"/>
        </w:rPr>
        <w:t>, sobre la base de la información oficial suministrada por la Superintendencia de Bancos de Panamá. Los semestres quedan definidos del primero (1°)</w:t>
      </w:r>
      <w:r w:rsidRPr="00D66591">
        <w:rPr>
          <w:b/>
          <w:szCs w:val="23"/>
        </w:rPr>
        <w:t xml:space="preserve"> </w:t>
      </w:r>
      <w:r w:rsidRPr="00D66591">
        <w:rPr>
          <w:szCs w:val="23"/>
        </w:rPr>
        <w:t>de enero al treinta (30) de junio y del primero (1°) de julio al treinta y uno (31) de diciembre</w:t>
      </w:r>
      <w:r w:rsidRPr="00D66591">
        <w:rPr>
          <w:color w:val="000000"/>
        </w:rPr>
        <w:t>.</w:t>
      </w:r>
      <w:r w:rsidR="00CA336B">
        <w:rPr>
          <w:color w:val="000000"/>
        </w:rPr>
        <w:t xml:space="preserve"> </w:t>
      </w:r>
      <w:r w:rsidR="00CA336B" w:rsidRPr="007B0253">
        <w:rPr>
          <w:color w:val="EE0000"/>
        </w:rPr>
        <w:t xml:space="preserve">Estos intereses no </w:t>
      </w:r>
      <w:r w:rsidR="002B6744" w:rsidRPr="007B0253">
        <w:rPr>
          <w:color w:val="EE0000"/>
        </w:rPr>
        <w:t>podrán trasladarse</w:t>
      </w:r>
      <w:r w:rsidR="00CA336B" w:rsidRPr="007B0253">
        <w:rPr>
          <w:color w:val="EE0000"/>
        </w:rPr>
        <w:t xml:space="preserve"> </w:t>
      </w:r>
      <w:r w:rsidR="002B6744" w:rsidRPr="007B0253">
        <w:rPr>
          <w:color w:val="EE0000"/>
        </w:rPr>
        <w:t>a</w:t>
      </w:r>
      <w:r w:rsidR="00CA336B" w:rsidRPr="007B0253">
        <w:rPr>
          <w:color w:val="EE0000"/>
        </w:rPr>
        <w:t>l costo a reconocer en tarifas por las infraestructuras.</w:t>
      </w:r>
    </w:p>
    <w:p w14:paraId="66157C6D" w14:textId="77777777" w:rsidR="00CA336B" w:rsidRPr="00D66591" w:rsidRDefault="00CA336B" w:rsidP="00793986">
      <w:pPr>
        <w:pStyle w:val="Prrafodelista"/>
        <w:rPr>
          <w:color w:val="000000" w:themeColor="text1"/>
        </w:rPr>
      </w:pPr>
    </w:p>
    <w:p w14:paraId="1179983E" w14:textId="77777777" w:rsidR="00793986" w:rsidRDefault="00793986" w:rsidP="00115D02">
      <w:pPr>
        <w:pStyle w:val="Prrafodelista"/>
        <w:numPr>
          <w:ilvl w:val="0"/>
          <w:numId w:val="17"/>
        </w:numPr>
        <w:ind w:left="360"/>
        <w:rPr>
          <w:color w:val="000000" w:themeColor="text1"/>
        </w:rPr>
      </w:pPr>
      <w:r w:rsidRPr="00D66591">
        <w:rPr>
          <w:color w:val="000000" w:themeColor="text1"/>
        </w:rPr>
        <w:lastRenderedPageBreak/>
        <w:t>Cualquier discrepancia o reclamación referente a los reembolsos, la ASEP actuará como dirimente.</w:t>
      </w:r>
    </w:p>
    <w:p w14:paraId="5529BA66" w14:textId="77777777" w:rsidR="00A8078D" w:rsidRDefault="00A8078D" w:rsidP="00A8078D">
      <w:pPr>
        <w:pStyle w:val="Prrafodelista"/>
        <w:ind w:left="360"/>
        <w:rPr>
          <w:color w:val="000000" w:themeColor="text1"/>
        </w:rPr>
      </w:pPr>
    </w:p>
    <w:p w14:paraId="00D2418B" w14:textId="77777777" w:rsidR="00793986" w:rsidRPr="00D66591" w:rsidRDefault="00793986" w:rsidP="00115D02">
      <w:pPr>
        <w:pStyle w:val="Prrafodelista"/>
        <w:numPr>
          <w:ilvl w:val="0"/>
          <w:numId w:val="17"/>
        </w:numPr>
        <w:ind w:left="360"/>
        <w:rPr>
          <w:color w:val="000000" w:themeColor="text1"/>
        </w:rPr>
      </w:pPr>
      <w:r w:rsidRPr="00D66591">
        <w:rPr>
          <w:color w:val="000000" w:themeColor="text1"/>
        </w:rPr>
        <w:t>La empresa distribuidora deberá cumplir con los tiempos máximos de construcción de las líneas eléctricas en función de la magnitud de los proyectos, para aquellos proyectos donde la empresa distribuidora asumirá la responsabilidad de la construcción.</w:t>
      </w:r>
    </w:p>
    <w:p w14:paraId="74D349A8" w14:textId="77777777" w:rsidR="001F13A6" w:rsidRDefault="001F13A6" w:rsidP="001F13A6">
      <w:pPr>
        <w:pStyle w:val="Prrafodelista"/>
        <w:rPr>
          <w:b/>
          <w:bCs/>
          <w:color w:val="4472C4" w:themeColor="accent1"/>
          <w:lang w:val="es-ES" w:eastAsia="es-ES"/>
        </w:rPr>
      </w:pPr>
    </w:p>
    <w:p w14:paraId="7E10D7A9" w14:textId="4C585C21" w:rsidR="001C655B" w:rsidRPr="00816A14" w:rsidRDefault="001C655B" w:rsidP="00816A14">
      <w:pPr>
        <w:pStyle w:val="Prrafodelista"/>
        <w:numPr>
          <w:ilvl w:val="0"/>
          <w:numId w:val="3"/>
        </w:numPr>
        <w:rPr>
          <w:b/>
          <w:bCs/>
          <w:color w:val="4472C4" w:themeColor="accent1"/>
          <w:lang w:val="es-ES" w:eastAsia="es-ES"/>
        </w:rPr>
      </w:pPr>
      <w:r w:rsidRPr="00816A14">
        <w:rPr>
          <w:b/>
          <w:bCs/>
          <w:color w:val="4472C4" w:themeColor="accent1"/>
          <w:lang w:val="es-ES" w:eastAsia="es-ES"/>
        </w:rPr>
        <w:t>Donde dice</w:t>
      </w:r>
    </w:p>
    <w:p w14:paraId="0D020ABC" w14:textId="002099AC" w:rsidR="00324E4E" w:rsidRPr="00F34A1B" w:rsidRDefault="001C655B" w:rsidP="00986E7B">
      <w:pPr>
        <w:rPr>
          <w:b/>
          <w:bCs/>
          <w:lang w:val="es-ES" w:eastAsia="es-ES"/>
        </w:rPr>
      </w:pPr>
      <w:r>
        <w:rPr>
          <w:b/>
          <w:bCs/>
          <w:lang w:val="es-ES" w:eastAsia="es-ES"/>
        </w:rPr>
        <w:t xml:space="preserve">Artículo 17. </w:t>
      </w:r>
      <w:r w:rsidR="00324E4E" w:rsidRPr="00F34A1B">
        <w:rPr>
          <w:lang w:val="es-ES" w:eastAsia="es-ES"/>
        </w:rPr>
        <w:t>Con la finalidad de agilizar los trámites de aprobación de planos por parte de la empresa distribuidora, el promotor deberá procurar:</w:t>
      </w:r>
    </w:p>
    <w:p w14:paraId="244551FD" w14:textId="77777777" w:rsidR="001C655B" w:rsidRPr="00986E7B" w:rsidRDefault="00324E4E" w:rsidP="00986E7B">
      <w:pPr>
        <w:pStyle w:val="Prrafodelista"/>
        <w:numPr>
          <w:ilvl w:val="0"/>
          <w:numId w:val="11"/>
        </w:numPr>
      </w:pPr>
      <w:r w:rsidRPr="00986E7B">
        <w:t>Conocer de antemano todos los trámites y regulaciones concernientes a la aprobación de los planos del proyecto.</w:t>
      </w:r>
    </w:p>
    <w:p w14:paraId="2B4922DF" w14:textId="77777777" w:rsidR="001C655B" w:rsidRPr="001C655B" w:rsidRDefault="00324E4E" w:rsidP="00986E7B">
      <w:pPr>
        <w:pStyle w:val="Prrafodelista"/>
        <w:numPr>
          <w:ilvl w:val="0"/>
          <w:numId w:val="11"/>
        </w:numPr>
        <w:rPr>
          <w:color w:val="000000" w:themeColor="text1"/>
        </w:rPr>
      </w:pPr>
      <w:r w:rsidRPr="00986E7B">
        <w:rPr>
          <w:color w:val="000000" w:themeColor="text1"/>
        </w:rPr>
        <w:t>Firmar un Contrato</w:t>
      </w:r>
      <w:r w:rsidRPr="00986E7B">
        <w:rPr>
          <w:iCs/>
          <w:color w:val="000000" w:themeColor="text1"/>
        </w:rPr>
        <w:t xml:space="preserve"> de reembolso y condiciones para la construcción de la red de</w:t>
      </w:r>
      <w:r w:rsidRPr="001C655B">
        <w:rPr>
          <w:bCs/>
          <w:iCs/>
          <w:color w:val="000000" w:themeColor="text1"/>
        </w:rPr>
        <w:t xml:space="preserve"> distribución</w:t>
      </w:r>
      <w:r w:rsidRPr="001C655B">
        <w:rPr>
          <w:b/>
        </w:rPr>
        <w:t xml:space="preserve"> </w:t>
      </w:r>
      <w:r w:rsidRPr="009660FC">
        <w:t>para el suministro de energía eléctrica al proyecto, antes de iniciar la construcción de la infraestructura del proyecto.</w:t>
      </w:r>
    </w:p>
    <w:p w14:paraId="1428A60E" w14:textId="20C11B83" w:rsidR="00324E4E" w:rsidRPr="001C655B" w:rsidRDefault="00324E4E" w:rsidP="00986E7B">
      <w:pPr>
        <w:pStyle w:val="Prrafodelista"/>
        <w:numPr>
          <w:ilvl w:val="0"/>
          <w:numId w:val="11"/>
        </w:numPr>
        <w:rPr>
          <w:color w:val="000000" w:themeColor="text1"/>
        </w:rPr>
      </w:pPr>
      <w:r w:rsidRPr="001C655B">
        <w:rPr>
          <w:color w:val="000000" w:themeColor="text1"/>
        </w:rPr>
        <w:t>El dueño del proyecto deberá procurar estar presente en las negociaciones del Contrato</w:t>
      </w:r>
      <w:r w:rsidRPr="001C655B">
        <w:rPr>
          <w:bCs/>
          <w:iCs/>
          <w:color w:val="000000" w:themeColor="text1"/>
        </w:rPr>
        <w:t xml:space="preserve"> de reembolso y condiciones para la construcción de la red de distribución</w:t>
      </w:r>
      <w:r w:rsidRPr="001C655B">
        <w:rPr>
          <w:color w:val="000000" w:themeColor="text1"/>
        </w:rPr>
        <w:t xml:space="preserve"> para el suministro de energía eléctrica al proyecto.</w:t>
      </w:r>
    </w:p>
    <w:p w14:paraId="7891DAF0" w14:textId="77777777" w:rsidR="006863AF" w:rsidRPr="006863AF" w:rsidRDefault="006863AF" w:rsidP="006863AF">
      <w:pPr>
        <w:rPr>
          <w:b/>
          <w:bCs/>
          <w:u w:val="single"/>
          <w:lang w:val="es-ES" w:eastAsia="es-ES"/>
        </w:rPr>
      </w:pPr>
      <w:r w:rsidRPr="006863AF">
        <w:rPr>
          <w:b/>
          <w:bCs/>
          <w:u w:val="single"/>
          <w:lang w:val="es-ES" w:eastAsia="es-ES"/>
        </w:rPr>
        <w:t>Debe decir</w:t>
      </w:r>
    </w:p>
    <w:p w14:paraId="019F730C" w14:textId="77777777" w:rsidR="00793986" w:rsidRPr="00F34A1B" w:rsidRDefault="00793986" w:rsidP="00793986">
      <w:pPr>
        <w:rPr>
          <w:b/>
          <w:bCs/>
          <w:lang w:val="es-ES" w:eastAsia="es-ES"/>
        </w:rPr>
      </w:pPr>
      <w:r>
        <w:rPr>
          <w:b/>
          <w:bCs/>
          <w:lang w:val="es-ES" w:eastAsia="es-ES"/>
        </w:rPr>
        <w:t xml:space="preserve">Artículo 17. </w:t>
      </w:r>
      <w:r w:rsidRPr="00F34A1B">
        <w:rPr>
          <w:lang w:val="es-ES" w:eastAsia="es-ES"/>
        </w:rPr>
        <w:t>Con la finalidad de agilizar los trámites de aprobación de planos por parte de la empresa distribuidora, el promotor deberá procurar:</w:t>
      </w:r>
    </w:p>
    <w:p w14:paraId="5D0D53DF" w14:textId="77777777" w:rsidR="00793986" w:rsidRPr="001C655B" w:rsidRDefault="00793986" w:rsidP="00793986">
      <w:pPr>
        <w:pStyle w:val="Prrafodelista"/>
        <w:numPr>
          <w:ilvl w:val="0"/>
          <w:numId w:val="14"/>
        </w:numPr>
        <w:rPr>
          <w:b/>
        </w:rPr>
      </w:pPr>
      <w:r w:rsidRPr="009660FC">
        <w:t>Conocer de antemano todos los trámites y regulaciones concernientes a la aprobación de los planos del proyecto.</w:t>
      </w:r>
    </w:p>
    <w:p w14:paraId="63577AE9" w14:textId="77777777" w:rsidR="00793986" w:rsidRPr="001C655B" w:rsidRDefault="00793986" w:rsidP="00793986">
      <w:pPr>
        <w:pStyle w:val="Prrafodelista"/>
        <w:numPr>
          <w:ilvl w:val="0"/>
          <w:numId w:val="14"/>
        </w:numPr>
        <w:rPr>
          <w:color w:val="000000" w:themeColor="text1"/>
        </w:rPr>
      </w:pPr>
      <w:r w:rsidRPr="001C655B">
        <w:rPr>
          <w:color w:val="000000" w:themeColor="text1"/>
        </w:rPr>
        <w:t>Firmar un Contrato</w:t>
      </w:r>
      <w:r w:rsidRPr="001C655B">
        <w:rPr>
          <w:bCs/>
          <w:iCs/>
          <w:color w:val="000000" w:themeColor="text1"/>
        </w:rPr>
        <w:t xml:space="preserve"> de reembolso y condiciones para la construcción de la red de distribución</w:t>
      </w:r>
      <w:r w:rsidRPr="001C655B">
        <w:rPr>
          <w:b/>
        </w:rPr>
        <w:t xml:space="preserve"> </w:t>
      </w:r>
      <w:r w:rsidRPr="009660FC">
        <w:t>para el suministro de energía eléctrica al proyecto, antes de iniciar la construcción de la infraestructura del proyecto.</w:t>
      </w:r>
    </w:p>
    <w:p w14:paraId="2E132D57" w14:textId="77777777" w:rsidR="00793986" w:rsidRDefault="00793986" w:rsidP="00793986">
      <w:pPr>
        <w:pStyle w:val="Prrafodelista"/>
        <w:numPr>
          <w:ilvl w:val="0"/>
          <w:numId w:val="14"/>
        </w:numPr>
        <w:rPr>
          <w:color w:val="000000" w:themeColor="text1"/>
        </w:rPr>
      </w:pPr>
      <w:r w:rsidRPr="001C655B">
        <w:rPr>
          <w:color w:val="000000" w:themeColor="text1"/>
        </w:rPr>
        <w:t>El dueño del proyecto deberá procurar estar presente en las negociaciones del Contrato</w:t>
      </w:r>
      <w:r w:rsidRPr="001C655B">
        <w:rPr>
          <w:bCs/>
          <w:iCs/>
          <w:color w:val="000000" w:themeColor="text1"/>
        </w:rPr>
        <w:t xml:space="preserve"> de reembolso y condiciones para la construcción de la red de distribución</w:t>
      </w:r>
      <w:r w:rsidRPr="001C655B">
        <w:rPr>
          <w:color w:val="000000" w:themeColor="text1"/>
        </w:rPr>
        <w:t xml:space="preserve"> para el suministro de energía eléctrica al proyecto.</w:t>
      </w:r>
    </w:p>
    <w:p w14:paraId="0923279B" w14:textId="520514C5" w:rsidR="00760692" w:rsidRPr="002A2E41" w:rsidRDefault="005C32DB" w:rsidP="00793986">
      <w:pPr>
        <w:pStyle w:val="Prrafodelista"/>
        <w:numPr>
          <w:ilvl w:val="0"/>
          <w:numId w:val="14"/>
        </w:numPr>
        <w:rPr>
          <w:color w:val="EE0000"/>
        </w:rPr>
      </w:pPr>
      <w:r w:rsidRPr="002A2E41">
        <w:rPr>
          <w:color w:val="EE0000"/>
        </w:rPr>
        <w:t>Disponer del Í</w:t>
      </w:r>
      <w:r w:rsidR="00760692" w:rsidRPr="002A2E41">
        <w:rPr>
          <w:color w:val="EE0000"/>
        </w:rPr>
        <w:t xml:space="preserve">ndice de ocupación predial o habitabilidad en lo posible certificado por una autoridad competente, caso contrario una declaración jurada realizada por el </w:t>
      </w:r>
      <w:r w:rsidRPr="002A2E41">
        <w:rPr>
          <w:color w:val="EE0000"/>
        </w:rPr>
        <w:t>d</w:t>
      </w:r>
      <w:r w:rsidR="00760692" w:rsidRPr="002A2E41">
        <w:rPr>
          <w:color w:val="EE0000"/>
        </w:rPr>
        <w:t>ueño del proyecto que será verificada por la empresa distribuidora.</w:t>
      </w:r>
    </w:p>
    <w:p w14:paraId="67FC09C3" w14:textId="77777777" w:rsidR="005C32DB" w:rsidRPr="001C655B" w:rsidRDefault="005C32DB" w:rsidP="00FE2022">
      <w:pPr>
        <w:pStyle w:val="Prrafodelista"/>
        <w:rPr>
          <w:color w:val="000000" w:themeColor="text1"/>
        </w:rPr>
      </w:pPr>
    </w:p>
    <w:p w14:paraId="46D9CB43" w14:textId="5A5B5B41" w:rsidR="006863AF" w:rsidRPr="00816A14" w:rsidRDefault="006863AF" w:rsidP="00FE2022">
      <w:pPr>
        <w:pStyle w:val="Prrafodelista"/>
        <w:numPr>
          <w:ilvl w:val="0"/>
          <w:numId w:val="3"/>
        </w:numPr>
        <w:rPr>
          <w:b/>
          <w:bCs/>
          <w:color w:val="4472C4" w:themeColor="accent1"/>
          <w:lang w:val="es-ES" w:eastAsia="es-ES"/>
        </w:rPr>
      </w:pPr>
      <w:r w:rsidRPr="00816A14">
        <w:rPr>
          <w:b/>
          <w:bCs/>
          <w:color w:val="4472C4" w:themeColor="accent1"/>
          <w:lang w:val="es-ES" w:eastAsia="es-ES"/>
        </w:rPr>
        <w:t>Donde dice</w:t>
      </w:r>
    </w:p>
    <w:p w14:paraId="0CD9F52D" w14:textId="2D6424FE" w:rsidR="00324E4E" w:rsidRPr="00F34A1B" w:rsidRDefault="006863AF" w:rsidP="00E86233">
      <w:pPr>
        <w:rPr>
          <w:b/>
          <w:bCs/>
          <w:lang w:val="es-ES" w:eastAsia="es-ES"/>
        </w:rPr>
      </w:pPr>
      <w:r>
        <w:rPr>
          <w:b/>
          <w:bCs/>
          <w:lang w:val="es-ES" w:eastAsia="es-ES"/>
        </w:rPr>
        <w:t xml:space="preserve">Artículo 19. </w:t>
      </w:r>
      <w:r w:rsidR="00324E4E" w:rsidRPr="00F34A1B">
        <w:rPr>
          <w:lang w:val="es-ES" w:eastAsia="es-ES"/>
        </w:rPr>
        <w:t>La empresa distribuidora deberá informar a la ASEP por escrito y en archivo de formato EXCEL, de periodicidad semestral en los meses de enero y julio de cada año, la siguiente información:</w:t>
      </w:r>
    </w:p>
    <w:p w14:paraId="1BA809B3" w14:textId="77777777" w:rsidR="006863AF" w:rsidRPr="006863AF" w:rsidRDefault="00324E4E" w:rsidP="008A0EAF">
      <w:pPr>
        <w:pStyle w:val="Prrafodelista"/>
        <w:numPr>
          <w:ilvl w:val="0"/>
          <w:numId w:val="12"/>
        </w:numPr>
      </w:pPr>
      <w:r w:rsidRPr="00914EB3">
        <w:lastRenderedPageBreak/>
        <w:t xml:space="preserve">Nombre </w:t>
      </w:r>
      <w:r w:rsidRPr="006863AF">
        <w:rPr>
          <w:color w:val="000000" w:themeColor="text1"/>
        </w:rPr>
        <w:t>y Localización de la infraestructura: nombre del proyecto, corregimiento, distrito, provincia. La información la debe presentar agrupando los proyectos que tienen la misma ubicación.</w:t>
      </w:r>
    </w:p>
    <w:p w14:paraId="742CD80F" w14:textId="7C2295F6" w:rsidR="0050530A" w:rsidRDefault="00324E4E" w:rsidP="008A0EAF">
      <w:pPr>
        <w:pStyle w:val="Prrafodelista"/>
        <w:numPr>
          <w:ilvl w:val="0"/>
          <w:numId w:val="12"/>
        </w:numPr>
      </w:pPr>
      <w:r w:rsidRPr="00914EB3">
        <w:t xml:space="preserve">Número de Contrato, </w:t>
      </w:r>
      <w:r w:rsidRPr="0050530A">
        <w:rPr>
          <w:color w:val="000000" w:themeColor="text1"/>
        </w:rPr>
        <w:t>fecha del Contrato</w:t>
      </w:r>
      <w:r w:rsidRPr="00914EB3">
        <w:t xml:space="preserve">, nombre del promotor, </w:t>
      </w:r>
      <w:r w:rsidRPr="0050530A">
        <w:rPr>
          <w:color w:val="000000" w:themeColor="text1"/>
        </w:rPr>
        <w:t>tipo de Contrato (si es por urbanizaciones o locales comerciales, o si es de otro tipo de infraestructura),</w:t>
      </w:r>
      <w:r w:rsidRPr="00914EB3">
        <w:t xml:space="preserve"> monto del Contrato y valor reembolsado.</w:t>
      </w:r>
    </w:p>
    <w:p w14:paraId="6FD4B177" w14:textId="4B82CE30" w:rsidR="00324E4E" w:rsidRPr="00914EB3" w:rsidRDefault="00324E4E" w:rsidP="008A0EAF">
      <w:pPr>
        <w:pStyle w:val="Prrafodelista"/>
        <w:numPr>
          <w:ilvl w:val="0"/>
          <w:numId w:val="12"/>
        </w:numPr>
      </w:pPr>
      <w:r w:rsidRPr="0050530A">
        <w:rPr>
          <w:color w:val="000000" w:themeColor="text1"/>
        </w:rPr>
        <w:t>Identificar los proyectos de acuerdo a si son infraestructura aérea o soterrada y el plazo para el reembolso.</w:t>
      </w:r>
    </w:p>
    <w:p w14:paraId="35296040" w14:textId="77777777" w:rsidR="00AB54A5" w:rsidRPr="00AB54A5" w:rsidRDefault="00AB54A5" w:rsidP="00AB54A5">
      <w:pPr>
        <w:rPr>
          <w:b/>
          <w:bCs/>
          <w:u w:val="single"/>
          <w:lang w:val="es-ES" w:eastAsia="es-ES"/>
        </w:rPr>
      </w:pPr>
      <w:r w:rsidRPr="00AB54A5">
        <w:rPr>
          <w:b/>
          <w:bCs/>
          <w:u w:val="single"/>
          <w:lang w:val="es-ES" w:eastAsia="es-ES"/>
        </w:rPr>
        <w:t>Debe decir</w:t>
      </w:r>
    </w:p>
    <w:p w14:paraId="69D7C348" w14:textId="77777777" w:rsidR="00793986" w:rsidRPr="00F34A1B" w:rsidRDefault="00793986" w:rsidP="00793986">
      <w:pPr>
        <w:rPr>
          <w:b/>
          <w:bCs/>
          <w:lang w:val="es-ES" w:eastAsia="es-ES"/>
        </w:rPr>
      </w:pPr>
      <w:r>
        <w:rPr>
          <w:b/>
          <w:bCs/>
          <w:lang w:val="es-ES" w:eastAsia="es-ES"/>
        </w:rPr>
        <w:t xml:space="preserve">Artículo 19. </w:t>
      </w:r>
      <w:r w:rsidRPr="00F34A1B">
        <w:rPr>
          <w:lang w:val="es-ES" w:eastAsia="es-ES"/>
        </w:rPr>
        <w:t>La empresa distribuidora deberá informar a la ASEP por escrito y en archivo de formato EXCEL, de periodicidad semestral en los meses de enero y julio de cada año, la siguiente información:</w:t>
      </w:r>
    </w:p>
    <w:p w14:paraId="156B8A95" w14:textId="77777777" w:rsidR="00793986" w:rsidRPr="006863AF" w:rsidRDefault="00793986" w:rsidP="00793986">
      <w:pPr>
        <w:pStyle w:val="Prrafodelista"/>
        <w:numPr>
          <w:ilvl w:val="0"/>
          <w:numId w:val="15"/>
        </w:numPr>
      </w:pPr>
      <w:r w:rsidRPr="00914EB3">
        <w:t xml:space="preserve">Nombre </w:t>
      </w:r>
      <w:r w:rsidRPr="006863AF">
        <w:rPr>
          <w:color w:val="000000" w:themeColor="text1"/>
        </w:rPr>
        <w:t>y Localización de la infraestructura: nombre del proyecto, corregimiento, distrito, provincia. La información la debe presentar agrupando los proyectos que tienen la misma ubicación.</w:t>
      </w:r>
    </w:p>
    <w:p w14:paraId="59B03F68" w14:textId="347F1C35" w:rsidR="00793986" w:rsidRDefault="00793986" w:rsidP="00793986">
      <w:pPr>
        <w:pStyle w:val="Prrafodelista"/>
        <w:numPr>
          <w:ilvl w:val="0"/>
          <w:numId w:val="15"/>
        </w:numPr>
      </w:pPr>
      <w:r w:rsidRPr="00914EB3">
        <w:t xml:space="preserve">Número </w:t>
      </w:r>
      <w:r w:rsidR="00A549E4" w:rsidRPr="00C20A3D">
        <w:rPr>
          <w:color w:val="EE0000"/>
        </w:rPr>
        <w:t>y</w:t>
      </w:r>
      <w:r w:rsidRPr="00914EB3">
        <w:t xml:space="preserve"> </w:t>
      </w:r>
      <w:r w:rsidRPr="0050530A">
        <w:rPr>
          <w:color w:val="000000" w:themeColor="text1"/>
        </w:rPr>
        <w:t>fecha del Contrato</w:t>
      </w:r>
      <w:r w:rsidRPr="00914EB3">
        <w:t xml:space="preserve">, nombre del promotor, </w:t>
      </w:r>
      <w:r w:rsidRPr="0050530A">
        <w:rPr>
          <w:color w:val="000000" w:themeColor="text1"/>
        </w:rPr>
        <w:t>tipo de Contrato (urbanizaciones</w:t>
      </w:r>
      <w:r w:rsidR="00C867F5">
        <w:rPr>
          <w:color w:val="000000" w:themeColor="text1"/>
        </w:rPr>
        <w:t>,</w:t>
      </w:r>
      <w:r w:rsidRPr="0050530A">
        <w:rPr>
          <w:color w:val="000000" w:themeColor="text1"/>
        </w:rPr>
        <w:t xml:space="preserve"> locales comerciales</w:t>
      </w:r>
      <w:r w:rsidR="00572727">
        <w:rPr>
          <w:color w:val="000000" w:themeColor="text1"/>
        </w:rPr>
        <w:t xml:space="preserve"> </w:t>
      </w:r>
      <w:r w:rsidR="00572727" w:rsidRPr="00BA4E5C">
        <w:rPr>
          <w:color w:val="EE0000"/>
        </w:rPr>
        <w:t>u</w:t>
      </w:r>
      <w:r w:rsidRPr="0050530A">
        <w:rPr>
          <w:color w:val="000000" w:themeColor="text1"/>
        </w:rPr>
        <w:t xml:space="preserve"> otro tipo de infraestructura),</w:t>
      </w:r>
      <w:r w:rsidRPr="00914EB3">
        <w:t xml:space="preserve"> monto </w:t>
      </w:r>
      <w:r w:rsidR="007E2317">
        <w:t>c</w:t>
      </w:r>
      <w:r w:rsidRPr="00914EB3">
        <w:t>ontra</w:t>
      </w:r>
      <w:r w:rsidR="007E2317">
        <w:t>c</w:t>
      </w:r>
      <w:r w:rsidRPr="00914EB3">
        <w:t>t</w:t>
      </w:r>
      <w:r w:rsidR="007E2317">
        <w:t>u</w:t>
      </w:r>
      <w:r w:rsidR="007E2317" w:rsidRPr="00BA4E5C">
        <w:rPr>
          <w:color w:val="EE0000"/>
        </w:rPr>
        <w:t>al</w:t>
      </w:r>
      <w:r w:rsidRPr="00914EB3">
        <w:t xml:space="preserve"> y valor reembolsado</w:t>
      </w:r>
      <w:r w:rsidR="007E2317">
        <w:t xml:space="preserve"> </w:t>
      </w:r>
      <w:r w:rsidR="004745A8" w:rsidRPr="00BA4E5C">
        <w:rPr>
          <w:color w:val="EE0000"/>
        </w:rPr>
        <w:t>conforme a las unidades constructivas típicas</w:t>
      </w:r>
      <w:r w:rsidRPr="00914EB3">
        <w:t>.</w:t>
      </w:r>
    </w:p>
    <w:p w14:paraId="2A86F825" w14:textId="0F558DDB" w:rsidR="0050530A" w:rsidRPr="002A2E41" w:rsidRDefault="00793986" w:rsidP="00760692">
      <w:pPr>
        <w:pStyle w:val="Prrafodelista"/>
        <w:numPr>
          <w:ilvl w:val="0"/>
          <w:numId w:val="15"/>
        </w:numPr>
        <w:rPr>
          <w:lang w:val="es-ES" w:eastAsia="es-ES"/>
        </w:rPr>
      </w:pPr>
      <w:r w:rsidRPr="002A2E41">
        <w:rPr>
          <w:color w:val="000000" w:themeColor="text1"/>
        </w:rPr>
        <w:t>Identificar los proyectos</w:t>
      </w:r>
      <w:r w:rsidR="00390018">
        <w:rPr>
          <w:color w:val="000000" w:themeColor="text1"/>
        </w:rPr>
        <w:t xml:space="preserve">, </w:t>
      </w:r>
      <w:r w:rsidR="00390018" w:rsidRPr="00923A96">
        <w:rPr>
          <w:color w:val="EE0000"/>
        </w:rPr>
        <w:t>precisando</w:t>
      </w:r>
      <w:r w:rsidRPr="002A2E41">
        <w:rPr>
          <w:color w:val="000000" w:themeColor="text1"/>
        </w:rPr>
        <w:t xml:space="preserve"> si </w:t>
      </w:r>
      <w:r w:rsidR="00390018" w:rsidRPr="00923A96">
        <w:rPr>
          <w:color w:val="EE0000"/>
        </w:rPr>
        <w:t>corresponden</w:t>
      </w:r>
      <w:r w:rsidR="006F53BE" w:rsidRPr="00923A96">
        <w:rPr>
          <w:color w:val="EE0000"/>
        </w:rPr>
        <w:t xml:space="preserve"> a</w:t>
      </w:r>
      <w:r w:rsidR="00390018" w:rsidRPr="002A2E41">
        <w:rPr>
          <w:color w:val="000000" w:themeColor="text1"/>
        </w:rPr>
        <w:t xml:space="preserve"> </w:t>
      </w:r>
      <w:r w:rsidRPr="002A2E41">
        <w:rPr>
          <w:color w:val="000000" w:themeColor="text1"/>
        </w:rPr>
        <w:t>infraestructura aérea o soterrada</w:t>
      </w:r>
      <w:r w:rsidR="00A90AA8">
        <w:rPr>
          <w:color w:val="000000" w:themeColor="text1"/>
        </w:rPr>
        <w:t xml:space="preserve">, </w:t>
      </w:r>
      <w:r w:rsidR="00A90AA8" w:rsidRPr="00923A96">
        <w:rPr>
          <w:color w:val="EE0000"/>
        </w:rPr>
        <w:t>así</w:t>
      </w:r>
      <w:r w:rsidR="00923A96">
        <w:rPr>
          <w:color w:val="EE0000"/>
        </w:rPr>
        <w:t xml:space="preserve"> </w:t>
      </w:r>
      <w:r w:rsidR="00A90AA8" w:rsidRPr="00923A96">
        <w:rPr>
          <w:color w:val="EE0000"/>
        </w:rPr>
        <w:t>como</w:t>
      </w:r>
      <w:r w:rsidRPr="00923A96">
        <w:rPr>
          <w:color w:val="EE0000"/>
        </w:rPr>
        <w:t xml:space="preserve"> el </w:t>
      </w:r>
      <w:r w:rsidRPr="002A2E41">
        <w:rPr>
          <w:color w:val="000000" w:themeColor="text1"/>
        </w:rPr>
        <w:t xml:space="preserve">plazo </w:t>
      </w:r>
      <w:r w:rsidR="00EE0A6D" w:rsidRPr="00923A96">
        <w:rPr>
          <w:color w:val="EE0000"/>
        </w:rPr>
        <w:t>d</w:t>
      </w:r>
      <w:r w:rsidRPr="002A2E41">
        <w:rPr>
          <w:color w:val="000000" w:themeColor="text1"/>
        </w:rPr>
        <w:t>el reembolso.</w:t>
      </w:r>
    </w:p>
    <w:p w14:paraId="4B50E76C" w14:textId="275FD199" w:rsidR="00760692" w:rsidRPr="00760692" w:rsidRDefault="00760692" w:rsidP="002A2E41">
      <w:pPr>
        <w:pStyle w:val="Prrafodelista"/>
        <w:numPr>
          <w:ilvl w:val="0"/>
          <w:numId w:val="15"/>
        </w:numPr>
        <w:rPr>
          <w:lang w:val="es-ES" w:eastAsia="es-ES"/>
        </w:rPr>
      </w:pPr>
      <w:r w:rsidRPr="006B554F">
        <w:rPr>
          <w:color w:val="EE0000"/>
        </w:rPr>
        <w:t>Índice de ocupación predial o habitabilidad de los proyectos informada por el promotor y verificado por la empresa distribuidora</w:t>
      </w:r>
      <w:r>
        <w:t>.</w:t>
      </w:r>
    </w:p>
    <w:sectPr w:rsidR="00760692" w:rsidRPr="00760692" w:rsidSect="00042C9B">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EAE4" w14:textId="77777777" w:rsidR="00B82FFA" w:rsidRDefault="00B82FFA" w:rsidP="00BE6E25">
      <w:pPr>
        <w:spacing w:after="0" w:line="240" w:lineRule="auto"/>
      </w:pPr>
      <w:r>
        <w:separator/>
      </w:r>
    </w:p>
  </w:endnote>
  <w:endnote w:type="continuationSeparator" w:id="0">
    <w:p w14:paraId="2956D3A3" w14:textId="77777777" w:rsidR="00B82FFA" w:rsidRDefault="00B82FFA" w:rsidP="00BE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4E19" w14:textId="77777777" w:rsidR="008D2B08" w:rsidRDefault="008D2B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4D6C" w14:textId="77777777" w:rsidR="00042C9B" w:rsidRDefault="00042C9B" w:rsidP="00BE6E25">
    <w:pPr>
      <w:pStyle w:val="Piedepgina"/>
      <w:tabs>
        <w:tab w:val="right" w:pos="13892"/>
      </w:tabs>
      <w:rPr>
        <w:sz w:val="20"/>
        <w:szCs w:val="18"/>
      </w:rPr>
    </w:pPr>
  </w:p>
  <w:p w14:paraId="4924155B" w14:textId="5F64F42D" w:rsidR="00BE6E25" w:rsidRPr="00B55DCF" w:rsidRDefault="00BE6E25" w:rsidP="005644AD">
    <w:pPr>
      <w:pStyle w:val="Piedepgina"/>
      <w:pBdr>
        <w:top w:val="single" w:sz="4" w:space="1" w:color="auto"/>
      </w:pBdr>
      <w:tabs>
        <w:tab w:val="right" w:pos="13892"/>
      </w:tabs>
      <w:rPr>
        <w:i/>
        <w:iCs/>
        <w:sz w:val="20"/>
        <w:szCs w:val="18"/>
      </w:rPr>
    </w:pPr>
    <w:r w:rsidRPr="00B55DCF">
      <w:rPr>
        <w:i/>
        <w:iCs/>
        <w:sz w:val="20"/>
        <w:szCs w:val="18"/>
      </w:rPr>
      <w:t>Propuesta de Modificación del RDC – Título VI</w:t>
    </w:r>
  </w:p>
  <w:p w14:paraId="08541356" w14:textId="67499EB6" w:rsidR="00BE6E25" w:rsidRPr="00B55DCF" w:rsidRDefault="00BE6E25" w:rsidP="00BE6E25">
    <w:pPr>
      <w:pStyle w:val="Piedepgina"/>
      <w:tabs>
        <w:tab w:val="right" w:pos="13892"/>
      </w:tabs>
      <w:rPr>
        <w:i/>
        <w:iCs/>
        <w:sz w:val="20"/>
        <w:szCs w:val="18"/>
      </w:rPr>
    </w:pPr>
    <w:r w:rsidRPr="00B55DCF">
      <w:rPr>
        <w:i/>
        <w:iCs/>
        <w:sz w:val="20"/>
        <w:szCs w:val="18"/>
      </w:rPr>
      <w:t xml:space="preserve">Instalación </w:t>
    </w:r>
    <w:r w:rsidR="006F4C32" w:rsidRPr="00B55DCF">
      <w:rPr>
        <w:i/>
        <w:iCs/>
        <w:sz w:val="20"/>
        <w:szCs w:val="18"/>
      </w:rPr>
      <w:t>y Financiamiento de Nuevas Infraestructuras con Cargas Mayores de 500 kW</w:t>
    </w:r>
  </w:p>
  <w:p w14:paraId="70A4797D" w14:textId="3685EB3F" w:rsidR="00BE6E25" w:rsidRPr="00B55DCF" w:rsidRDefault="00BE6E25" w:rsidP="00BE6E25">
    <w:pPr>
      <w:pStyle w:val="Piedepgina"/>
      <w:tabs>
        <w:tab w:val="right" w:pos="13892"/>
      </w:tabs>
      <w:rPr>
        <w:i/>
        <w:iCs/>
        <w:color w:val="404040" w:themeColor="text1" w:themeTint="BF"/>
        <w:sz w:val="20"/>
        <w:szCs w:val="18"/>
      </w:rPr>
    </w:pPr>
    <w:r w:rsidRPr="00B55DCF">
      <w:rPr>
        <w:i/>
        <w:iCs/>
        <w:color w:val="404040" w:themeColor="text1" w:themeTint="BF"/>
        <w:sz w:val="20"/>
        <w:szCs w:val="18"/>
      </w:rPr>
      <w:tab/>
    </w:r>
    <w:r w:rsidRPr="00B55DCF">
      <w:rPr>
        <w:i/>
        <w:iCs/>
        <w:sz w:val="20"/>
        <w:szCs w:val="18"/>
      </w:rPr>
      <w:tab/>
    </w:r>
    <w:r w:rsidRPr="00B55DCF">
      <w:rPr>
        <w:i/>
        <w:iCs/>
        <w:color w:val="404040" w:themeColor="text1" w:themeTint="BF"/>
        <w:sz w:val="20"/>
        <w:szCs w:val="18"/>
      </w:rPr>
      <w:t xml:space="preserve">Página </w:t>
    </w:r>
    <w:r w:rsidRPr="00B55DCF">
      <w:rPr>
        <w:i/>
        <w:iCs/>
        <w:color w:val="404040" w:themeColor="text1" w:themeTint="BF"/>
        <w:sz w:val="20"/>
        <w:szCs w:val="18"/>
      </w:rPr>
      <w:fldChar w:fldCharType="begin"/>
    </w:r>
    <w:r w:rsidRPr="00B55DCF">
      <w:rPr>
        <w:i/>
        <w:iCs/>
        <w:color w:val="404040" w:themeColor="text1" w:themeTint="BF"/>
        <w:sz w:val="20"/>
        <w:szCs w:val="18"/>
      </w:rPr>
      <w:instrText xml:space="preserve"> PAGE    \* MERGEFORMAT </w:instrText>
    </w:r>
    <w:r w:rsidRPr="00B55DCF">
      <w:rPr>
        <w:i/>
        <w:iCs/>
        <w:color w:val="404040" w:themeColor="text1" w:themeTint="BF"/>
        <w:sz w:val="20"/>
        <w:szCs w:val="18"/>
      </w:rPr>
      <w:fldChar w:fldCharType="separate"/>
    </w:r>
    <w:r w:rsidRPr="00B55DCF">
      <w:rPr>
        <w:i/>
        <w:iCs/>
        <w:sz w:val="20"/>
        <w:szCs w:val="18"/>
      </w:rPr>
      <w:t>1</w:t>
    </w:r>
    <w:r w:rsidRPr="00B55DCF">
      <w:rPr>
        <w:i/>
        <w:iCs/>
        <w:color w:val="404040" w:themeColor="text1" w:themeTint="BF"/>
        <w:sz w:val="20"/>
        <w:szCs w:val="18"/>
      </w:rPr>
      <w:fldChar w:fldCharType="end"/>
    </w:r>
    <w:r w:rsidRPr="00B55DCF">
      <w:rPr>
        <w:i/>
        <w:iCs/>
        <w:color w:val="404040" w:themeColor="text1" w:themeTint="BF"/>
        <w:sz w:val="20"/>
        <w:szCs w:val="18"/>
      </w:rPr>
      <w:t xml:space="preserve"> de 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157A" w14:textId="77777777" w:rsidR="008D2B08" w:rsidRDefault="008D2B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B51F" w14:textId="77777777" w:rsidR="00B82FFA" w:rsidRDefault="00B82FFA" w:rsidP="00BE6E25">
      <w:pPr>
        <w:spacing w:after="0" w:line="240" w:lineRule="auto"/>
      </w:pPr>
      <w:r>
        <w:separator/>
      </w:r>
    </w:p>
  </w:footnote>
  <w:footnote w:type="continuationSeparator" w:id="0">
    <w:p w14:paraId="311CB7E5" w14:textId="77777777" w:rsidR="00B82FFA" w:rsidRDefault="00B82FFA" w:rsidP="00BE6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4131" w14:textId="77777777" w:rsidR="008D2B08" w:rsidRDefault="008D2B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49BC" w14:textId="77777777" w:rsidR="008D2B08" w:rsidRDefault="008D2B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6D51" w14:textId="77777777" w:rsidR="008D2B08" w:rsidRDefault="008D2B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2253"/>
    <w:multiLevelType w:val="multilevel"/>
    <w:tmpl w:val="180A0027"/>
    <w:lvl w:ilvl="0">
      <w:start w:val="1"/>
      <w:numFmt w:val="upperRoman"/>
      <w:pStyle w:val="Ttulo1"/>
      <w:lvlText w:val="%1."/>
      <w:lvlJc w:val="left"/>
      <w:pPr>
        <w:ind w:left="916" w:firstLine="0"/>
      </w:pPr>
    </w:lvl>
    <w:lvl w:ilvl="1">
      <w:start w:val="1"/>
      <w:numFmt w:val="upperLetter"/>
      <w:pStyle w:val="Ttulo2"/>
      <w:lvlText w:val="%2."/>
      <w:lvlJc w:val="left"/>
      <w:pPr>
        <w:ind w:left="1636" w:firstLine="0"/>
      </w:pPr>
    </w:lvl>
    <w:lvl w:ilvl="2">
      <w:start w:val="1"/>
      <w:numFmt w:val="decimal"/>
      <w:pStyle w:val="Ttulo3"/>
      <w:lvlText w:val="%3."/>
      <w:lvlJc w:val="left"/>
      <w:pPr>
        <w:ind w:left="2356" w:firstLine="0"/>
      </w:pPr>
    </w:lvl>
    <w:lvl w:ilvl="3">
      <w:start w:val="1"/>
      <w:numFmt w:val="lowerLetter"/>
      <w:pStyle w:val="Ttulo4"/>
      <w:lvlText w:val="%4)"/>
      <w:lvlJc w:val="left"/>
      <w:pPr>
        <w:ind w:left="3076" w:firstLine="0"/>
      </w:pPr>
    </w:lvl>
    <w:lvl w:ilvl="4">
      <w:start w:val="1"/>
      <w:numFmt w:val="decimal"/>
      <w:pStyle w:val="Ttulo5"/>
      <w:lvlText w:val="(%5)"/>
      <w:lvlJc w:val="left"/>
      <w:pPr>
        <w:ind w:left="3796" w:firstLine="0"/>
      </w:pPr>
    </w:lvl>
    <w:lvl w:ilvl="5">
      <w:start w:val="1"/>
      <w:numFmt w:val="lowerLetter"/>
      <w:pStyle w:val="Ttulo6"/>
      <w:lvlText w:val="(%6)"/>
      <w:lvlJc w:val="left"/>
      <w:pPr>
        <w:ind w:left="4516" w:firstLine="0"/>
      </w:pPr>
    </w:lvl>
    <w:lvl w:ilvl="6">
      <w:start w:val="1"/>
      <w:numFmt w:val="lowerRoman"/>
      <w:pStyle w:val="Ttulo7"/>
      <w:lvlText w:val="(%7)"/>
      <w:lvlJc w:val="left"/>
      <w:pPr>
        <w:ind w:left="5236" w:firstLine="0"/>
      </w:pPr>
    </w:lvl>
    <w:lvl w:ilvl="7">
      <w:start w:val="1"/>
      <w:numFmt w:val="lowerLetter"/>
      <w:pStyle w:val="Ttulo8"/>
      <w:lvlText w:val="(%8)"/>
      <w:lvlJc w:val="left"/>
      <w:pPr>
        <w:ind w:left="5956" w:firstLine="0"/>
      </w:pPr>
    </w:lvl>
    <w:lvl w:ilvl="8">
      <w:start w:val="1"/>
      <w:numFmt w:val="lowerRoman"/>
      <w:pStyle w:val="Ttulo9"/>
      <w:lvlText w:val="(%9)"/>
      <w:lvlJc w:val="left"/>
      <w:pPr>
        <w:ind w:left="6676" w:firstLine="0"/>
      </w:pPr>
    </w:lvl>
  </w:abstractNum>
  <w:abstractNum w:abstractNumId="1" w15:restartNumberingAfterBreak="0">
    <w:nsid w:val="1E944EF4"/>
    <w:multiLevelType w:val="hybridMultilevel"/>
    <w:tmpl w:val="A14AFC8A"/>
    <w:lvl w:ilvl="0" w:tplc="FFFFFFFF">
      <w:start w:val="1"/>
      <w:numFmt w:val="lowerRoman"/>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F98514F"/>
    <w:multiLevelType w:val="hybridMultilevel"/>
    <w:tmpl w:val="354635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9B40A6"/>
    <w:multiLevelType w:val="hybridMultilevel"/>
    <w:tmpl w:val="B39ACB9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1682279"/>
    <w:multiLevelType w:val="hybridMultilevel"/>
    <w:tmpl w:val="CA0EFECE"/>
    <w:lvl w:ilvl="0" w:tplc="180A0003">
      <w:start w:val="1"/>
      <w:numFmt w:val="bullet"/>
      <w:lvlText w:val="o"/>
      <w:lvlJc w:val="left"/>
      <w:pPr>
        <w:ind w:left="1800" w:hanging="360"/>
      </w:pPr>
      <w:rPr>
        <w:rFonts w:ascii="Courier New" w:hAnsi="Courier New" w:cs="Courier New" w:hint="default"/>
      </w:rPr>
    </w:lvl>
    <w:lvl w:ilvl="1" w:tplc="180A0003" w:tentative="1">
      <w:start w:val="1"/>
      <w:numFmt w:val="bullet"/>
      <w:lvlText w:val="o"/>
      <w:lvlJc w:val="left"/>
      <w:pPr>
        <w:ind w:left="2520" w:hanging="360"/>
      </w:pPr>
      <w:rPr>
        <w:rFonts w:ascii="Courier New" w:hAnsi="Courier New" w:cs="Courier New" w:hint="default"/>
      </w:rPr>
    </w:lvl>
    <w:lvl w:ilvl="2" w:tplc="180A0005" w:tentative="1">
      <w:start w:val="1"/>
      <w:numFmt w:val="bullet"/>
      <w:lvlText w:val=""/>
      <w:lvlJc w:val="left"/>
      <w:pPr>
        <w:ind w:left="3240" w:hanging="360"/>
      </w:pPr>
      <w:rPr>
        <w:rFonts w:ascii="Wingdings" w:hAnsi="Wingdings" w:hint="default"/>
      </w:rPr>
    </w:lvl>
    <w:lvl w:ilvl="3" w:tplc="180A0001" w:tentative="1">
      <w:start w:val="1"/>
      <w:numFmt w:val="bullet"/>
      <w:lvlText w:val=""/>
      <w:lvlJc w:val="left"/>
      <w:pPr>
        <w:ind w:left="3960" w:hanging="360"/>
      </w:pPr>
      <w:rPr>
        <w:rFonts w:ascii="Symbol" w:hAnsi="Symbol" w:hint="default"/>
      </w:rPr>
    </w:lvl>
    <w:lvl w:ilvl="4" w:tplc="180A0003" w:tentative="1">
      <w:start w:val="1"/>
      <w:numFmt w:val="bullet"/>
      <w:lvlText w:val="o"/>
      <w:lvlJc w:val="left"/>
      <w:pPr>
        <w:ind w:left="4680" w:hanging="360"/>
      </w:pPr>
      <w:rPr>
        <w:rFonts w:ascii="Courier New" w:hAnsi="Courier New" w:cs="Courier New" w:hint="default"/>
      </w:rPr>
    </w:lvl>
    <w:lvl w:ilvl="5" w:tplc="180A0005" w:tentative="1">
      <w:start w:val="1"/>
      <w:numFmt w:val="bullet"/>
      <w:lvlText w:val=""/>
      <w:lvlJc w:val="left"/>
      <w:pPr>
        <w:ind w:left="5400" w:hanging="360"/>
      </w:pPr>
      <w:rPr>
        <w:rFonts w:ascii="Wingdings" w:hAnsi="Wingdings" w:hint="default"/>
      </w:rPr>
    </w:lvl>
    <w:lvl w:ilvl="6" w:tplc="180A0001" w:tentative="1">
      <w:start w:val="1"/>
      <w:numFmt w:val="bullet"/>
      <w:lvlText w:val=""/>
      <w:lvlJc w:val="left"/>
      <w:pPr>
        <w:ind w:left="6120" w:hanging="360"/>
      </w:pPr>
      <w:rPr>
        <w:rFonts w:ascii="Symbol" w:hAnsi="Symbol" w:hint="default"/>
      </w:rPr>
    </w:lvl>
    <w:lvl w:ilvl="7" w:tplc="180A0003" w:tentative="1">
      <w:start w:val="1"/>
      <w:numFmt w:val="bullet"/>
      <w:lvlText w:val="o"/>
      <w:lvlJc w:val="left"/>
      <w:pPr>
        <w:ind w:left="6840" w:hanging="360"/>
      </w:pPr>
      <w:rPr>
        <w:rFonts w:ascii="Courier New" w:hAnsi="Courier New" w:cs="Courier New" w:hint="default"/>
      </w:rPr>
    </w:lvl>
    <w:lvl w:ilvl="8" w:tplc="180A0005" w:tentative="1">
      <w:start w:val="1"/>
      <w:numFmt w:val="bullet"/>
      <w:lvlText w:val=""/>
      <w:lvlJc w:val="left"/>
      <w:pPr>
        <w:ind w:left="7560" w:hanging="360"/>
      </w:pPr>
      <w:rPr>
        <w:rFonts w:ascii="Wingdings" w:hAnsi="Wingdings" w:hint="default"/>
      </w:rPr>
    </w:lvl>
  </w:abstractNum>
  <w:abstractNum w:abstractNumId="5" w15:restartNumberingAfterBreak="0">
    <w:nsid w:val="36910710"/>
    <w:multiLevelType w:val="hybridMultilevel"/>
    <w:tmpl w:val="A14AFC8A"/>
    <w:lvl w:ilvl="0" w:tplc="FFFFFFFF">
      <w:start w:val="1"/>
      <w:numFmt w:val="lowerRoman"/>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192665"/>
    <w:multiLevelType w:val="hybridMultilevel"/>
    <w:tmpl w:val="879E4122"/>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3CDB6A82"/>
    <w:multiLevelType w:val="hybridMultilevel"/>
    <w:tmpl w:val="40D4709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87579AD"/>
    <w:multiLevelType w:val="hybridMultilevel"/>
    <w:tmpl w:val="5FAA6BFA"/>
    <w:lvl w:ilvl="0" w:tplc="180A0017">
      <w:start w:val="1"/>
      <w:numFmt w:val="lowerLetter"/>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9" w15:restartNumberingAfterBreak="0">
    <w:nsid w:val="48EB10F6"/>
    <w:multiLevelType w:val="hybridMultilevel"/>
    <w:tmpl w:val="0218D0D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006496E"/>
    <w:multiLevelType w:val="hybridMultilevel"/>
    <w:tmpl w:val="3764497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52D619D2"/>
    <w:multiLevelType w:val="hybridMultilevel"/>
    <w:tmpl w:val="8D4AEE60"/>
    <w:lvl w:ilvl="0" w:tplc="C2DE7A94">
      <w:start w:val="1"/>
      <w:numFmt w:val="lowerRoman"/>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55322BBE"/>
    <w:multiLevelType w:val="hybridMultilevel"/>
    <w:tmpl w:val="C27A6CBC"/>
    <w:lvl w:ilvl="0" w:tplc="180A0017">
      <w:start w:val="1"/>
      <w:numFmt w:val="lowerLetter"/>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3" w15:restartNumberingAfterBreak="0">
    <w:nsid w:val="56774B87"/>
    <w:multiLevelType w:val="hybridMultilevel"/>
    <w:tmpl w:val="90B603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D8799C"/>
    <w:multiLevelType w:val="hybridMultilevel"/>
    <w:tmpl w:val="A14AFC8A"/>
    <w:lvl w:ilvl="0" w:tplc="C2DE7A94">
      <w:start w:val="1"/>
      <w:numFmt w:val="lowerRoman"/>
      <w:lvlText w:val="(%1)"/>
      <w:lvlJc w:val="left"/>
      <w:pPr>
        <w:ind w:left="720" w:hanging="360"/>
      </w:pPr>
      <w:rPr>
        <w:rFonts w:hint="default"/>
        <w:color w:val="auto"/>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5BB44B54"/>
    <w:multiLevelType w:val="hybridMultilevel"/>
    <w:tmpl w:val="40D47094"/>
    <w:lvl w:ilvl="0" w:tplc="180A0017">
      <w:start w:val="1"/>
      <w:numFmt w:val="lowerLetter"/>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6" w15:restartNumberingAfterBreak="0">
    <w:nsid w:val="5D8158D5"/>
    <w:multiLevelType w:val="hybridMultilevel"/>
    <w:tmpl w:val="5FAA6B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7277BC"/>
    <w:multiLevelType w:val="singleLevel"/>
    <w:tmpl w:val="0F00BE48"/>
    <w:lvl w:ilvl="0">
      <w:start w:val="1"/>
      <w:numFmt w:val="none"/>
      <w:pStyle w:val="Respuesta"/>
      <w:lvlText w:val="Respuesta: "/>
      <w:lvlJc w:val="left"/>
      <w:pPr>
        <w:tabs>
          <w:tab w:val="num" w:pos="1800"/>
        </w:tabs>
        <w:ind w:left="0" w:firstLine="0"/>
      </w:pPr>
      <w:rPr>
        <w:b/>
        <w:i w:val="0"/>
        <w:u w:val="single"/>
      </w:rPr>
    </w:lvl>
  </w:abstractNum>
  <w:abstractNum w:abstractNumId="18" w15:restartNumberingAfterBreak="0">
    <w:nsid w:val="6C1707D9"/>
    <w:multiLevelType w:val="hybridMultilevel"/>
    <w:tmpl w:val="74A0B10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D9E163C"/>
    <w:multiLevelType w:val="hybridMultilevel"/>
    <w:tmpl w:val="41AE22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15:restartNumberingAfterBreak="0">
    <w:nsid w:val="7A555189"/>
    <w:multiLevelType w:val="hybridMultilevel"/>
    <w:tmpl w:val="74A0B102"/>
    <w:lvl w:ilvl="0" w:tplc="180A0017">
      <w:start w:val="1"/>
      <w:numFmt w:val="lowerLetter"/>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16cid:durableId="1015031962">
    <w:abstractNumId w:val="0"/>
  </w:num>
  <w:num w:numId="2" w16cid:durableId="1830364857">
    <w:abstractNumId w:val="17"/>
  </w:num>
  <w:num w:numId="3" w16cid:durableId="1640500136">
    <w:abstractNumId w:val="10"/>
  </w:num>
  <w:num w:numId="4" w16cid:durableId="1437553669">
    <w:abstractNumId w:val="20"/>
  </w:num>
  <w:num w:numId="5" w16cid:durableId="1814985601">
    <w:abstractNumId w:val="8"/>
  </w:num>
  <w:num w:numId="6" w16cid:durableId="1380713957">
    <w:abstractNumId w:val="14"/>
  </w:num>
  <w:num w:numId="7" w16cid:durableId="1925720644">
    <w:abstractNumId w:val="4"/>
  </w:num>
  <w:num w:numId="8" w16cid:durableId="123231045">
    <w:abstractNumId w:val="6"/>
  </w:num>
  <w:num w:numId="9" w16cid:durableId="858469000">
    <w:abstractNumId w:val="1"/>
  </w:num>
  <w:num w:numId="10" w16cid:durableId="1383167705">
    <w:abstractNumId w:val="11"/>
  </w:num>
  <w:num w:numId="11" w16cid:durableId="1942493974">
    <w:abstractNumId w:val="15"/>
  </w:num>
  <w:num w:numId="12" w16cid:durableId="948970103">
    <w:abstractNumId w:val="12"/>
  </w:num>
  <w:num w:numId="13" w16cid:durableId="1320380710">
    <w:abstractNumId w:val="18"/>
  </w:num>
  <w:num w:numId="14" w16cid:durableId="1479301873">
    <w:abstractNumId w:val="7"/>
  </w:num>
  <w:num w:numId="15" w16cid:durableId="1400786648">
    <w:abstractNumId w:val="9"/>
  </w:num>
  <w:num w:numId="16" w16cid:durableId="1180047173">
    <w:abstractNumId w:val="13"/>
  </w:num>
  <w:num w:numId="17" w16cid:durableId="867110850">
    <w:abstractNumId w:val="16"/>
  </w:num>
  <w:num w:numId="18" w16cid:durableId="1554077629">
    <w:abstractNumId w:val="3"/>
  </w:num>
  <w:num w:numId="19" w16cid:durableId="162556067">
    <w:abstractNumId w:val="2"/>
  </w:num>
  <w:num w:numId="20" w16cid:durableId="762995864">
    <w:abstractNumId w:val="5"/>
  </w:num>
  <w:num w:numId="21" w16cid:durableId="125975217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89"/>
    <w:rsid w:val="000011E4"/>
    <w:rsid w:val="0000361E"/>
    <w:rsid w:val="00003964"/>
    <w:rsid w:val="000104C2"/>
    <w:rsid w:val="00011BD6"/>
    <w:rsid w:val="00015191"/>
    <w:rsid w:val="00017096"/>
    <w:rsid w:val="00020683"/>
    <w:rsid w:val="00026971"/>
    <w:rsid w:val="00026BEF"/>
    <w:rsid w:val="00027EFF"/>
    <w:rsid w:val="000314B8"/>
    <w:rsid w:val="00031A07"/>
    <w:rsid w:val="0003275B"/>
    <w:rsid w:val="0003339F"/>
    <w:rsid w:val="00037C27"/>
    <w:rsid w:val="00042C9B"/>
    <w:rsid w:val="00043F6B"/>
    <w:rsid w:val="0005107B"/>
    <w:rsid w:val="00054684"/>
    <w:rsid w:val="000548CB"/>
    <w:rsid w:val="0005537D"/>
    <w:rsid w:val="00060A59"/>
    <w:rsid w:val="00065527"/>
    <w:rsid w:val="0007701F"/>
    <w:rsid w:val="00080CF0"/>
    <w:rsid w:val="00082373"/>
    <w:rsid w:val="00082F7B"/>
    <w:rsid w:val="00093712"/>
    <w:rsid w:val="000B2766"/>
    <w:rsid w:val="000C0559"/>
    <w:rsid w:val="000C1586"/>
    <w:rsid w:val="000D04F4"/>
    <w:rsid w:val="000D06EB"/>
    <w:rsid w:val="000D3E7F"/>
    <w:rsid w:val="000D4DEF"/>
    <w:rsid w:val="000D5E36"/>
    <w:rsid w:val="00100B73"/>
    <w:rsid w:val="00105E1B"/>
    <w:rsid w:val="00107F45"/>
    <w:rsid w:val="001102D7"/>
    <w:rsid w:val="001147A9"/>
    <w:rsid w:val="00115D02"/>
    <w:rsid w:val="001275A1"/>
    <w:rsid w:val="00133470"/>
    <w:rsid w:val="00133F81"/>
    <w:rsid w:val="0013752E"/>
    <w:rsid w:val="00141B09"/>
    <w:rsid w:val="00143306"/>
    <w:rsid w:val="00144A35"/>
    <w:rsid w:val="0014690C"/>
    <w:rsid w:val="0015768F"/>
    <w:rsid w:val="001635A0"/>
    <w:rsid w:val="00166CA3"/>
    <w:rsid w:val="00167CB3"/>
    <w:rsid w:val="0018154C"/>
    <w:rsid w:val="00186A53"/>
    <w:rsid w:val="00196431"/>
    <w:rsid w:val="001A0F5C"/>
    <w:rsid w:val="001B6EA7"/>
    <w:rsid w:val="001B6F3B"/>
    <w:rsid w:val="001B7A0C"/>
    <w:rsid w:val="001C5C5A"/>
    <w:rsid w:val="001C64DC"/>
    <w:rsid w:val="001C655B"/>
    <w:rsid w:val="001D5B02"/>
    <w:rsid w:val="001E61FD"/>
    <w:rsid w:val="001E752B"/>
    <w:rsid w:val="001E7E48"/>
    <w:rsid w:val="001F13A6"/>
    <w:rsid w:val="001F2E55"/>
    <w:rsid w:val="001F7D17"/>
    <w:rsid w:val="00200830"/>
    <w:rsid w:val="00201DAE"/>
    <w:rsid w:val="002046D6"/>
    <w:rsid w:val="00215E46"/>
    <w:rsid w:val="00220C02"/>
    <w:rsid w:val="00230B2E"/>
    <w:rsid w:val="00230C10"/>
    <w:rsid w:val="00234A88"/>
    <w:rsid w:val="00237B6C"/>
    <w:rsid w:val="002422D6"/>
    <w:rsid w:val="002429C5"/>
    <w:rsid w:val="00242A45"/>
    <w:rsid w:val="0024368B"/>
    <w:rsid w:val="00245662"/>
    <w:rsid w:val="00252BE9"/>
    <w:rsid w:val="002541D6"/>
    <w:rsid w:val="0025725D"/>
    <w:rsid w:val="002600BE"/>
    <w:rsid w:val="00271B1F"/>
    <w:rsid w:val="00275569"/>
    <w:rsid w:val="00282C3A"/>
    <w:rsid w:val="00286170"/>
    <w:rsid w:val="002911E8"/>
    <w:rsid w:val="00292D95"/>
    <w:rsid w:val="002A2E41"/>
    <w:rsid w:val="002A522E"/>
    <w:rsid w:val="002B36C3"/>
    <w:rsid w:val="002B3E17"/>
    <w:rsid w:val="002B5F5F"/>
    <w:rsid w:val="002B6744"/>
    <w:rsid w:val="002C365B"/>
    <w:rsid w:val="002D3B6E"/>
    <w:rsid w:val="002D52B6"/>
    <w:rsid w:val="002D66C1"/>
    <w:rsid w:val="002E0A2E"/>
    <w:rsid w:val="002E71EB"/>
    <w:rsid w:val="002F10E4"/>
    <w:rsid w:val="002F438B"/>
    <w:rsid w:val="002F5CFC"/>
    <w:rsid w:val="003052F8"/>
    <w:rsid w:val="003108CD"/>
    <w:rsid w:val="00310C40"/>
    <w:rsid w:val="00310F3E"/>
    <w:rsid w:val="00324E4E"/>
    <w:rsid w:val="003251A8"/>
    <w:rsid w:val="0032539E"/>
    <w:rsid w:val="00326949"/>
    <w:rsid w:val="00331F96"/>
    <w:rsid w:val="003358B3"/>
    <w:rsid w:val="00341B16"/>
    <w:rsid w:val="00351005"/>
    <w:rsid w:val="0035206E"/>
    <w:rsid w:val="00353D9A"/>
    <w:rsid w:val="003545A0"/>
    <w:rsid w:val="00361029"/>
    <w:rsid w:val="00364AF2"/>
    <w:rsid w:val="00367FD5"/>
    <w:rsid w:val="003722DC"/>
    <w:rsid w:val="00381927"/>
    <w:rsid w:val="003842CE"/>
    <w:rsid w:val="00390018"/>
    <w:rsid w:val="003A04C1"/>
    <w:rsid w:val="003B0AA0"/>
    <w:rsid w:val="003C17B0"/>
    <w:rsid w:val="003C2B6C"/>
    <w:rsid w:val="003C343B"/>
    <w:rsid w:val="003C6A60"/>
    <w:rsid w:val="003D5606"/>
    <w:rsid w:val="003D5FC2"/>
    <w:rsid w:val="003E1FBA"/>
    <w:rsid w:val="003F4D0A"/>
    <w:rsid w:val="00401AF8"/>
    <w:rsid w:val="00404B50"/>
    <w:rsid w:val="0041342D"/>
    <w:rsid w:val="00413920"/>
    <w:rsid w:val="00414752"/>
    <w:rsid w:val="00414FBF"/>
    <w:rsid w:val="004158CB"/>
    <w:rsid w:val="004217CE"/>
    <w:rsid w:val="00421DB2"/>
    <w:rsid w:val="00437962"/>
    <w:rsid w:val="004422C6"/>
    <w:rsid w:val="00443B0C"/>
    <w:rsid w:val="004465B8"/>
    <w:rsid w:val="00450E7A"/>
    <w:rsid w:val="00467810"/>
    <w:rsid w:val="004745A8"/>
    <w:rsid w:val="00480AA2"/>
    <w:rsid w:val="00495817"/>
    <w:rsid w:val="00496B48"/>
    <w:rsid w:val="00497A8D"/>
    <w:rsid w:val="004A48B7"/>
    <w:rsid w:val="004A4BA8"/>
    <w:rsid w:val="004A4F08"/>
    <w:rsid w:val="004B2589"/>
    <w:rsid w:val="004B2D94"/>
    <w:rsid w:val="004B413B"/>
    <w:rsid w:val="004B5197"/>
    <w:rsid w:val="004B530E"/>
    <w:rsid w:val="004C0E09"/>
    <w:rsid w:val="004C3CF5"/>
    <w:rsid w:val="004C5E7D"/>
    <w:rsid w:val="004C6124"/>
    <w:rsid w:val="004C751C"/>
    <w:rsid w:val="004D3817"/>
    <w:rsid w:val="004D470C"/>
    <w:rsid w:val="004D79EE"/>
    <w:rsid w:val="004E039F"/>
    <w:rsid w:val="004E0FA7"/>
    <w:rsid w:val="004E4421"/>
    <w:rsid w:val="004E5A0E"/>
    <w:rsid w:val="004F6C7B"/>
    <w:rsid w:val="00501E24"/>
    <w:rsid w:val="00502248"/>
    <w:rsid w:val="0050530A"/>
    <w:rsid w:val="0051368E"/>
    <w:rsid w:val="00514CD2"/>
    <w:rsid w:val="00514F09"/>
    <w:rsid w:val="0051780A"/>
    <w:rsid w:val="00522538"/>
    <w:rsid w:val="00534B0C"/>
    <w:rsid w:val="00542A9B"/>
    <w:rsid w:val="00543AA5"/>
    <w:rsid w:val="005478B2"/>
    <w:rsid w:val="00555F78"/>
    <w:rsid w:val="00563B51"/>
    <w:rsid w:val="005644AD"/>
    <w:rsid w:val="0056670F"/>
    <w:rsid w:val="00572727"/>
    <w:rsid w:val="00574C0C"/>
    <w:rsid w:val="00585C66"/>
    <w:rsid w:val="0059277A"/>
    <w:rsid w:val="00592F0B"/>
    <w:rsid w:val="00595E5A"/>
    <w:rsid w:val="005961DE"/>
    <w:rsid w:val="0059754E"/>
    <w:rsid w:val="005B4226"/>
    <w:rsid w:val="005B4F73"/>
    <w:rsid w:val="005C32DB"/>
    <w:rsid w:val="005C3DDD"/>
    <w:rsid w:val="005C5955"/>
    <w:rsid w:val="005D1588"/>
    <w:rsid w:val="005D2C2C"/>
    <w:rsid w:val="005D4A5F"/>
    <w:rsid w:val="005D560D"/>
    <w:rsid w:val="005D76F5"/>
    <w:rsid w:val="005E7B18"/>
    <w:rsid w:val="005F4D5C"/>
    <w:rsid w:val="00601355"/>
    <w:rsid w:val="006035F0"/>
    <w:rsid w:val="00604BF9"/>
    <w:rsid w:val="00604E9D"/>
    <w:rsid w:val="006139B9"/>
    <w:rsid w:val="00620C5F"/>
    <w:rsid w:val="00625E94"/>
    <w:rsid w:val="0063140B"/>
    <w:rsid w:val="006335E7"/>
    <w:rsid w:val="00641A89"/>
    <w:rsid w:val="00642E65"/>
    <w:rsid w:val="0065405D"/>
    <w:rsid w:val="00654838"/>
    <w:rsid w:val="00665195"/>
    <w:rsid w:val="00666769"/>
    <w:rsid w:val="00675A1C"/>
    <w:rsid w:val="00677329"/>
    <w:rsid w:val="00685A34"/>
    <w:rsid w:val="006863AF"/>
    <w:rsid w:val="00686F89"/>
    <w:rsid w:val="006932FE"/>
    <w:rsid w:val="006A0B49"/>
    <w:rsid w:val="006A0CFB"/>
    <w:rsid w:val="006B0432"/>
    <w:rsid w:val="006B338B"/>
    <w:rsid w:val="006B554F"/>
    <w:rsid w:val="006C4CFD"/>
    <w:rsid w:val="006D3A67"/>
    <w:rsid w:val="006E087A"/>
    <w:rsid w:val="006E335F"/>
    <w:rsid w:val="006F4C32"/>
    <w:rsid w:val="006F53BE"/>
    <w:rsid w:val="006F6057"/>
    <w:rsid w:val="006F7E06"/>
    <w:rsid w:val="00705540"/>
    <w:rsid w:val="00707931"/>
    <w:rsid w:val="0071532A"/>
    <w:rsid w:val="007155E7"/>
    <w:rsid w:val="007178B3"/>
    <w:rsid w:val="00727097"/>
    <w:rsid w:val="007346BC"/>
    <w:rsid w:val="0073633C"/>
    <w:rsid w:val="00741EBA"/>
    <w:rsid w:val="00742952"/>
    <w:rsid w:val="00744EBA"/>
    <w:rsid w:val="00747AEF"/>
    <w:rsid w:val="00751141"/>
    <w:rsid w:val="00754579"/>
    <w:rsid w:val="00760692"/>
    <w:rsid w:val="00761B89"/>
    <w:rsid w:val="00763500"/>
    <w:rsid w:val="007728B9"/>
    <w:rsid w:val="0077705E"/>
    <w:rsid w:val="00780E78"/>
    <w:rsid w:val="00782EAA"/>
    <w:rsid w:val="00784A8D"/>
    <w:rsid w:val="007874E7"/>
    <w:rsid w:val="00793986"/>
    <w:rsid w:val="00793F1D"/>
    <w:rsid w:val="007A02A3"/>
    <w:rsid w:val="007A0B8D"/>
    <w:rsid w:val="007A517D"/>
    <w:rsid w:val="007A7274"/>
    <w:rsid w:val="007A72AA"/>
    <w:rsid w:val="007B00D8"/>
    <w:rsid w:val="007B0253"/>
    <w:rsid w:val="007B1809"/>
    <w:rsid w:val="007D4038"/>
    <w:rsid w:val="007D4B0A"/>
    <w:rsid w:val="007E2317"/>
    <w:rsid w:val="007E5139"/>
    <w:rsid w:val="007F23F2"/>
    <w:rsid w:val="007F3DCD"/>
    <w:rsid w:val="00800F85"/>
    <w:rsid w:val="00802310"/>
    <w:rsid w:val="0080306D"/>
    <w:rsid w:val="00813453"/>
    <w:rsid w:val="00813FC4"/>
    <w:rsid w:val="00816A14"/>
    <w:rsid w:val="0082228B"/>
    <w:rsid w:val="008243C4"/>
    <w:rsid w:val="00837F4A"/>
    <w:rsid w:val="00843921"/>
    <w:rsid w:val="00844E70"/>
    <w:rsid w:val="00847142"/>
    <w:rsid w:val="00847379"/>
    <w:rsid w:val="00847F7E"/>
    <w:rsid w:val="0085705F"/>
    <w:rsid w:val="008678C9"/>
    <w:rsid w:val="00873611"/>
    <w:rsid w:val="0087686D"/>
    <w:rsid w:val="00880952"/>
    <w:rsid w:val="008812B2"/>
    <w:rsid w:val="008852A2"/>
    <w:rsid w:val="00895D9D"/>
    <w:rsid w:val="00896D68"/>
    <w:rsid w:val="008A0EAF"/>
    <w:rsid w:val="008A39F1"/>
    <w:rsid w:val="008A4050"/>
    <w:rsid w:val="008A748C"/>
    <w:rsid w:val="008B3CF8"/>
    <w:rsid w:val="008C21D1"/>
    <w:rsid w:val="008C2E46"/>
    <w:rsid w:val="008D2B08"/>
    <w:rsid w:val="008D4080"/>
    <w:rsid w:val="008E44C1"/>
    <w:rsid w:val="008E5F0E"/>
    <w:rsid w:val="00907658"/>
    <w:rsid w:val="00913368"/>
    <w:rsid w:val="00923A96"/>
    <w:rsid w:val="009401B6"/>
    <w:rsid w:val="0094200A"/>
    <w:rsid w:val="0094634A"/>
    <w:rsid w:val="00946A11"/>
    <w:rsid w:val="0095300D"/>
    <w:rsid w:val="00957121"/>
    <w:rsid w:val="00964AF7"/>
    <w:rsid w:val="00966F25"/>
    <w:rsid w:val="00976B26"/>
    <w:rsid w:val="009827CC"/>
    <w:rsid w:val="00985CD5"/>
    <w:rsid w:val="00986E7B"/>
    <w:rsid w:val="00994E37"/>
    <w:rsid w:val="00995F55"/>
    <w:rsid w:val="009A17E6"/>
    <w:rsid w:val="009B5D94"/>
    <w:rsid w:val="009B6B49"/>
    <w:rsid w:val="009B74E8"/>
    <w:rsid w:val="009D2C91"/>
    <w:rsid w:val="009E16DD"/>
    <w:rsid w:val="009F63AF"/>
    <w:rsid w:val="00A070DB"/>
    <w:rsid w:val="00A15753"/>
    <w:rsid w:val="00A16104"/>
    <w:rsid w:val="00A23951"/>
    <w:rsid w:val="00A25C39"/>
    <w:rsid w:val="00A300BD"/>
    <w:rsid w:val="00A3017D"/>
    <w:rsid w:val="00A3792E"/>
    <w:rsid w:val="00A41455"/>
    <w:rsid w:val="00A41E2F"/>
    <w:rsid w:val="00A44D89"/>
    <w:rsid w:val="00A549E4"/>
    <w:rsid w:val="00A54BAD"/>
    <w:rsid w:val="00A5649E"/>
    <w:rsid w:val="00A56D4F"/>
    <w:rsid w:val="00A61363"/>
    <w:rsid w:val="00A67DFD"/>
    <w:rsid w:val="00A731F2"/>
    <w:rsid w:val="00A737FD"/>
    <w:rsid w:val="00A768A0"/>
    <w:rsid w:val="00A77E29"/>
    <w:rsid w:val="00A8078D"/>
    <w:rsid w:val="00A90AA8"/>
    <w:rsid w:val="00A91D9F"/>
    <w:rsid w:val="00A94B57"/>
    <w:rsid w:val="00A967FA"/>
    <w:rsid w:val="00AA5F13"/>
    <w:rsid w:val="00AB1C58"/>
    <w:rsid w:val="00AB246C"/>
    <w:rsid w:val="00AB2DFE"/>
    <w:rsid w:val="00AB3D3F"/>
    <w:rsid w:val="00AB54A5"/>
    <w:rsid w:val="00AB6997"/>
    <w:rsid w:val="00AB7041"/>
    <w:rsid w:val="00AC19F9"/>
    <w:rsid w:val="00AC243F"/>
    <w:rsid w:val="00AD7B0C"/>
    <w:rsid w:val="00AE0406"/>
    <w:rsid w:val="00AE08EC"/>
    <w:rsid w:val="00AE2217"/>
    <w:rsid w:val="00AF2A4B"/>
    <w:rsid w:val="00AF4C92"/>
    <w:rsid w:val="00AF5137"/>
    <w:rsid w:val="00AF7CCF"/>
    <w:rsid w:val="00B05EB0"/>
    <w:rsid w:val="00B162AA"/>
    <w:rsid w:val="00B26D1B"/>
    <w:rsid w:val="00B43040"/>
    <w:rsid w:val="00B51A1F"/>
    <w:rsid w:val="00B53A8C"/>
    <w:rsid w:val="00B55DCF"/>
    <w:rsid w:val="00B6654D"/>
    <w:rsid w:val="00B665B6"/>
    <w:rsid w:val="00B70E57"/>
    <w:rsid w:val="00B73BD8"/>
    <w:rsid w:val="00B77A67"/>
    <w:rsid w:val="00B82FFA"/>
    <w:rsid w:val="00B956A5"/>
    <w:rsid w:val="00B97D54"/>
    <w:rsid w:val="00BA4E5C"/>
    <w:rsid w:val="00BB1893"/>
    <w:rsid w:val="00BB206B"/>
    <w:rsid w:val="00BB2F85"/>
    <w:rsid w:val="00BB48A0"/>
    <w:rsid w:val="00BC1A88"/>
    <w:rsid w:val="00BD03A1"/>
    <w:rsid w:val="00BD157F"/>
    <w:rsid w:val="00BD4CAF"/>
    <w:rsid w:val="00BD564E"/>
    <w:rsid w:val="00BE4954"/>
    <w:rsid w:val="00BE6E25"/>
    <w:rsid w:val="00BF0831"/>
    <w:rsid w:val="00BF184B"/>
    <w:rsid w:val="00BF3B22"/>
    <w:rsid w:val="00BF5D48"/>
    <w:rsid w:val="00C02BFD"/>
    <w:rsid w:val="00C13217"/>
    <w:rsid w:val="00C13CE6"/>
    <w:rsid w:val="00C160C8"/>
    <w:rsid w:val="00C161BD"/>
    <w:rsid w:val="00C20A3D"/>
    <w:rsid w:val="00C23ABE"/>
    <w:rsid w:val="00C37E6C"/>
    <w:rsid w:val="00C466B9"/>
    <w:rsid w:val="00C535BE"/>
    <w:rsid w:val="00C63F20"/>
    <w:rsid w:val="00C73082"/>
    <w:rsid w:val="00C75E10"/>
    <w:rsid w:val="00C80C3C"/>
    <w:rsid w:val="00C82714"/>
    <w:rsid w:val="00C867F5"/>
    <w:rsid w:val="00C90A56"/>
    <w:rsid w:val="00C91F40"/>
    <w:rsid w:val="00C945FD"/>
    <w:rsid w:val="00CA1DCC"/>
    <w:rsid w:val="00CA336B"/>
    <w:rsid w:val="00CA5877"/>
    <w:rsid w:val="00CA6FC5"/>
    <w:rsid w:val="00CC2CCD"/>
    <w:rsid w:val="00CC3E6B"/>
    <w:rsid w:val="00CC6DF3"/>
    <w:rsid w:val="00CD1356"/>
    <w:rsid w:val="00CD3AE7"/>
    <w:rsid w:val="00CD4229"/>
    <w:rsid w:val="00CD7DDD"/>
    <w:rsid w:val="00CE607A"/>
    <w:rsid w:val="00CE615B"/>
    <w:rsid w:val="00CF2D7B"/>
    <w:rsid w:val="00D105AB"/>
    <w:rsid w:val="00D16989"/>
    <w:rsid w:val="00D1711F"/>
    <w:rsid w:val="00D3170E"/>
    <w:rsid w:val="00D32786"/>
    <w:rsid w:val="00D654A4"/>
    <w:rsid w:val="00D66591"/>
    <w:rsid w:val="00D67F73"/>
    <w:rsid w:val="00D73846"/>
    <w:rsid w:val="00D84981"/>
    <w:rsid w:val="00D86E69"/>
    <w:rsid w:val="00D87056"/>
    <w:rsid w:val="00D87710"/>
    <w:rsid w:val="00D92C1C"/>
    <w:rsid w:val="00D9466A"/>
    <w:rsid w:val="00DB306F"/>
    <w:rsid w:val="00DB5DDF"/>
    <w:rsid w:val="00DC0F67"/>
    <w:rsid w:val="00DC19B8"/>
    <w:rsid w:val="00DC1DDF"/>
    <w:rsid w:val="00DC2129"/>
    <w:rsid w:val="00DD5238"/>
    <w:rsid w:val="00DE5C20"/>
    <w:rsid w:val="00DF097C"/>
    <w:rsid w:val="00DF5CA8"/>
    <w:rsid w:val="00E015D9"/>
    <w:rsid w:val="00E065C6"/>
    <w:rsid w:val="00E0792D"/>
    <w:rsid w:val="00E07DA4"/>
    <w:rsid w:val="00E11DD9"/>
    <w:rsid w:val="00E162EE"/>
    <w:rsid w:val="00E30109"/>
    <w:rsid w:val="00E309A5"/>
    <w:rsid w:val="00E34812"/>
    <w:rsid w:val="00E425ED"/>
    <w:rsid w:val="00E438AE"/>
    <w:rsid w:val="00E46A29"/>
    <w:rsid w:val="00E47D1E"/>
    <w:rsid w:val="00E5065A"/>
    <w:rsid w:val="00E53919"/>
    <w:rsid w:val="00E56BC8"/>
    <w:rsid w:val="00E64654"/>
    <w:rsid w:val="00E763E6"/>
    <w:rsid w:val="00E80555"/>
    <w:rsid w:val="00E81BF6"/>
    <w:rsid w:val="00E82285"/>
    <w:rsid w:val="00E82F3C"/>
    <w:rsid w:val="00E85D86"/>
    <w:rsid w:val="00E86233"/>
    <w:rsid w:val="00E91D2A"/>
    <w:rsid w:val="00E91EDE"/>
    <w:rsid w:val="00E93F4A"/>
    <w:rsid w:val="00E97FB4"/>
    <w:rsid w:val="00EA0E76"/>
    <w:rsid w:val="00EA1380"/>
    <w:rsid w:val="00EA62C6"/>
    <w:rsid w:val="00EB289B"/>
    <w:rsid w:val="00EB6D37"/>
    <w:rsid w:val="00EC3B3C"/>
    <w:rsid w:val="00ED45EB"/>
    <w:rsid w:val="00EE0031"/>
    <w:rsid w:val="00EE0A6D"/>
    <w:rsid w:val="00F14629"/>
    <w:rsid w:val="00F14C47"/>
    <w:rsid w:val="00F20DAF"/>
    <w:rsid w:val="00F2773C"/>
    <w:rsid w:val="00F27819"/>
    <w:rsid w:val="00F3195D"/>
    <w:rsid w:val="00F332B1"/>
    <w:rsid w:val="00F503A7"/>
    <w:rsid w:val="00F5131A"/>
    <w:rsid w:val="00F63DE5"/>
    <w:rsid w:val="00F668E9"/>
    <w:rsid w:val="00F67C00"/>
    <w:rsid w:val="00F7799D"/>
    <w:rsid w:val="00F926AA"/>
    <w:rsid w:val="00FA689E"/>
    <w:rsid w:val="00FB0573"/>
    <w:rsid w:val="00FB618E"/>
    <w:rsid w:val="00FC20A1"/>
    <w:rsid w:val="00FC3C39"/>
    <w:rsid w:val="00FD06D9"/>
    <w:rsid w:val="00FD0A2A"/>
    <w:rsid w:val="00FD3448"/>
    <w:rsid w:val="00FD4534"/>
    <w:rsid w:val="00FD5376"/>
    <w:rsid w:val="00FE10EE"/>
    <w:rsid w:val="00FE15B7"/>
    <w:rsid w:val="00FE1F0C"/>
    <w:rsid w:val="00FE2022"/>
    <w:rsid w:val="00FE57EC"/>
    <w:rsid w:val="00FE7319"/>
    <w:rsid w:val="0112DEE3"/>
    <w:rsid w:val="014583CB"/>
    <w:rsid w:val="01C32E05"/>
    <w:rsid w:val="026EB4B1"/>
    <w:rsid w:val="02E485F2"/>
    <w:rsid w:val="036D4940"/>
    <w:rsid w:val="05B8880E"/>
    <w:rsid w:val="06162D8E"/>
    <w:rsid w:val="06EA51B1"/>
    <w:rsid w:val="07744504"/>
    <w:rsid w:val="0825EC2C"/>
    <w:rsid w:val="08316903"/>
    <w:rsid w:val="087818AB"/>
    <w:rsid w:val="092EB67F"/>
    <w:rsid w:val="0AA27EE8"/>
    <w:rsid w:val="0ACA86E0"/>
    <w:rsid w:val="0B6131B3"/>
    <w:rsid w:val="0DA40454"/>
    <w:rsid w:val="0DC399F3"/>
    <w:rsid w:val="0E590D86"/>
    <w:rsid w:val="0EEA7AD4"/>
    <w:rsid w:val="0F5F6A54"/>
    <w:rsid w:val="0F946D70"/>
    <w:rsid w:val="1165FD23"/>
    <w:rsid w:val="11762281"/>
    <w:rsid w:val="1194F919"/>
    <w:rsid w:val="11BBE520"/>
    <w:rsid w:val="133CF032"/>
    <w:rsid w:val="143576ED"/>
    <w:rsid w:val="15192AF8"/>
    <w:rsid w:val="167490F4"/>
    <w:rsid w:val="1817D487"/>
    <w:rsid w:val="19E0E730"/>
    <w:rsid w:val="1A66A2A9"/>
    <w:rsid w:val="1C66C6D1"/>
    <w:rsid w:val="1CBFF3EC"/>
    <w:rsid w:val="1DF830FA"/>
    <w:rsid w:val="1E9F7CF1"/>
    <w:rsid w:val="1FFEEC60"/>
    <w:rsid w:val="208EB663"/>
    <w:rsid w:val="20B87F0C"/>
    <w:rsid w:val="21800E40"/>
    <w:rsid w:val="220A798E"/>
    <w:rsid w:val="2247E899"/>
    <w:rsid w:val="22F3ACDF"/>
    <w:rsid w:val="231F8E83"/>
    <w:rsid w:val="2337FA9D"/>
    <w:rsid w:val="2387C976"/>
    <w:rsid w:val="23F322D1"/>
    <w:rsid w:val="242BA419"/>
    <w:rsid w:val="253F5DAA"/>
    <w:rsid w:val="258F31F3"/>
    <w:rsid w:val="25A8E71F"/>
    <w:rsid w:val="26A15824"/>
    <w:rsid w:val="26FC1022"/>
    <w:rsid w:val="2785EAE3"/>
    <w:rsid w:val="2948220E"/>
    <w:rsid w:val="29A9ECA1"/>
    <w:rsid w:val="2A37C49A"/>
    <w:rsid w:val="2B92DB5B"/>
    <w:rsid w:val="2BA6AD1B"/>
    <w:rsid w:val="2BD8C9B0"/>
    <w:rsid w:val="2BDF852B"/>
    <w:rsid w:val="2BE7A0D2"/>
    <w:rsid w:val="2EEDF9AA"/>
    <w:rsid w:val="2FA516B3"/>
    <w:rsid w:val="30D95544"/>
    <w:rsid w:val="3140E714"/>
    <w:rsid w:val="315ECF39"/>
    <w:rsid w:val="32613A0C"/>
    <w:rsid w:val="3276CE18"/>
    <w:rsid w:val="36B36007"/>
    <w:rsid w:val="374621DA"/>
    <w:rsid w:val="374F490E"/>
    <w:rsid w:val="37D0F7DD"/>
    <w:rsid w:val="38FE1B22"/>
    <w:rsid w:val="39FFF029"/>
    <w:rsid w:val="3A151C4A"/>
    <w:rsid w:val="3AEBAB67"/>
    <w:rsid w:val="3B90A239"/>
    <w:rsid w:val="3B97C44E"/>
    <w:rsid w:val="3D607230"/>
    <w:rsid w:val="3E8B8126"/>
    <w:rsid w:val="3EF9A810"/>
    <w:rsid w:val="3F43FAE0"/>
    <w:rsid w:val="3F9E1449"/>
    <w:rsid w:val="403498F5"/>
    <w:rsid w:val="40C724F5"/>
    <w:rsid w:val="41AF8007"/>
    <w:rsid w:val="42F2DB3F"/>
    <w:rsid w:val="43281016"/>
    <w:rsid w:val="44812109"/>
    <w:rsid w:val="44D9FC7E"/>
    <w:rsid w:val="4529DA8D"/>
    <w:rsid w:val="454229E5"/>
    <w:rsid w:val="45552C4B"/>
    <w:rsid w:val="457B4C7E"/>
    <w:rsid w:val="4635A935"/>
    <w:rsid w:val="468D9664"/>
    <w:rsid w:val="46F0FCAC"/>
    <w:rsid w:val="4836A474"/>
    <w:rsid w:val="48DB1A08"/>
    <w:rsid w:val="495D4EDE"/>
    <w:rsid w:val="49871B7A"/>
    <w:rsid w:val="4A36E564"/>
    <w:rsid w:val="4A482163"/>
    <w:rsid w:val="4B267A9F"/>
    <w:rsid w:val="4C8882AE"/>
    <w:rsid w:val="4CC24B00"/>
    <w:rsid w:val="4CFAFF46"/>
    <w:rsid w:val="4E24530F"/>
    <w:rsid w:val="4E635198"/>
    <w:rsid w:val="4E67B667"/>
    <w:rsid w:val="501640C0"/>
    <w:rsid w:val="5059BC52"/>
    <w:rsid w:val="507B8BBD"/>
    <w:rsid w:val="55CB1F85"/>
    <w:rsid w:val="562F64F4"/>
    <w:rsid w:val="58A855A0"/>
    <w:rsid w:val="595AE565"/>
    <w:rsid w:val="596705B6"/>
    <w:rsid w:val="59CB7223"/>
    <w:rsid w:val="5B02D617"/>
    <w:rsid w:val="5B577446"/>
    <w:rsid w:val="5B9A681C"/>
    <w:rsid w:val="5BC61E4B"/>
    <w:rsid w:val="5CCCC022"/>
    <w:rsid w:val="5D00DB92"/>
    <w:rsid w:val="5D2AFAA8"/>
    <w:rsid w:val="5EAB0A84"/>
    <w:rsid w:val="5F390E8D"/>
    <w:rsid w:val="5FDE34C0"/>
    <w:rsid w:val="61A4BA3B"/>
    <w:rsid w:val="63D43ADA"/>
    <w:rsid w:val="648C65AC"/>
    <w:rsid w:val="65302967"/>
    <w:rsid w:val="65673AD2"/>
    <w:rsid w:val="6926523C"/>
    <w:rsid w:val="6B478821"/>
    <w:rsid w:val="6CB09777"/>
    <w:rsid w:val="6D4A468B"/>
    <w:rsid w:val="6E278308"/>
    <w:rsid w:val="6E5C55CD"/>
    <w:rsid w:val="6EA60814"/>
    <w:rsid w:val="6FE42472"/>
    <w:rsid w:val="74E67164"/>
    <w:rsid w:val="75B63A90"/>
    <w:rsid w:val="773E34A4"/>
    <w:rsid w:val="7777FCF6"/>
    <w:rsid w:val="77A6499D"/>
    <w:rsid w:val="78C22B22"/>
    <w:rsid w:val="7936AEC3"/>
    <w:rsid w:val="797D0D32"/>
    <w:rsid w:val="79876135"/>
    <w:rsid w:val="7B73E10A"/>
    <w:rsid w:val="7B8BB470"/>
    <w:rsid w:val="7DC14072"/>
    <w:rsid w:val="7F2BDE84"/>
    <w:rsid w:val="7F699A30"/>
    <w:rsid w:val="7FFAFEC6"/>
  </w:rsids>
  <m:mathPr>
    <m:mathFont m:val="Cambria Math"/>
    <m:brkBin m:val="before"/>
    <m:brkBinSub m:val="--"/>
    <m:smallFrac m:val="0"/>
    <m:dispDef/>
    <m:lMargin m:val="0"/>
    <m:rMargin m:val="0"/>
    <m:defJc m:val="centerGroup"/>
    <m:wrapIndent m:val="1440"/>
    <m:intLim m:val="subSup"/>
    <m:naryLim m:val="undOvr"/>
  </m:mathPr>
  <w:themeFontLang w:val="es-P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E3F2"/>
  <w15:chartTrackingRefBased/>
  <w15:docId w15:val="{1BDC802A-B504-4A16-A740-7EE7331D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33"/>
    <w:pPr>
      <w:jc w:val="both"/>
    </w:pPr>
    <w:rPr>
      <w:sz w:val="24"/>
    </w:rPr>
  </w:style>
  <w:style w:type="paragraph" w:styleId="Ttulo1">
    <w:name w:val="heading 1"/>
    <w:basedOn w:val="Normal"/>
    <w:next w:val="Normal"/>
    <w:link w:val="Ttulo1Car"/>
    <w:uiPriority w:val="9"/>
    <w:qFormat/>
    <w:rsid w:val="00BE4954"/>
    <w:pPr>
      <w:keepNext/>
      <w:keepLines/>
      <w:numPr>
        <w:numId w:val="1"/>
      </w:numPr>
      <w:spacing w:before="240" w:after="0"/>
      <w:outlineLvl w:val="0"/>
    </w:pPr>
    <w:rPr>
      <w:rFonts w:eastAsiaTheme="majorEastAsia" w:cstheme="majorBidi"/>
      <w:b/>
      <w:color w:val="2F5496" w:themeColor="accent1" w:themeShade="BF"/>
      <w:szCs w:val="32"/>
    </w:rPr>
  </w:style>
  <w:style w:type="paragraph" w:styleId="Ttulo2">
    <w:name w:val="heading 2"/>
    <w:basedOn w:val="Normal"/>
    <w:next w:val="Normal"/>
    <w:link w:val="Ttulo2Car"/>
    <w:uiPriority w:val="9"/>
    <w:semiHidden/>
    <w:unhideWhenUsed/>
    <w:qFormat/>
    <w:rsid w:val="00A91D9F"/>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91D9F"/>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unhideWhenUsed/>
    <w:qFormat/>
    <w:rsid w:val="00A91D9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91D9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91D9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91D9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A91D9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91D9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300D"/>
    <w:pPr>
      <w:ind w:left="720"/>
      <w:contextualSpacing/>
    </w:pPr>
  </w:style>
  <w:style w:type="character" w:customStyle="1" w:styleId="Ttulo1Car">
    <w:name w:val="Título 1 Car"/>
    <w:basedOn w:val="Fuentedeprrafopredeter"/>
    <w:link w:val="Ttulo1"/>
    <w:uiPriority w:val="9"/>
    <w:rsid w:val="00BE4954"/>
    <w:rPr>
      <w:rFonts w:eastAsiaTheme="majorEastAsia" w:cstheme="majorBidi"/>
      <w:b/>
      <w:color w:val="2F5496" w:themeColor="accent1" w:themeShade="BF"/>
      <w:sz w:val="24"/>
      <w:szCs w:val="32"/>
    </w:rPr>
  </w:style>
  <w:style w:type="paragraph" w:styleId="Revisin">
    <w:name w:val="Revision"/>
    <w:hidden/>
    <w:uiPriority w:val="99"/>
    <w:semiHidden/>
    <w:rsid w:val="00BD4CAF"/>
    <w:pPr>
      <w:spacing w:after="0" w:line="240" w:lineRule="auto"/>
    </w:pPr>
  </w:style>
  <w:style w:type="character" w:styleId="Refdecomentario">
    <w:name w:val="annotation reference"/>
    <w:basedOn w:val="Fuentedeprrafopredeter"/>
    <w:uiPriority w:val="99"/>
    <w:semiHidden/>
    <w:unhideWhenUsed/>
    <w:rsid w:val="00DF097C"/>
    <w:rPr>
      <w:sz w:val="16"/>
      <w:szCs w:val="16"/>
    </w:rPr>
  </w:style>
  <w:style w:type="paragraph" w:styleId="Textocomentario">
    <w:name w:val="annotation text"/>
    <w:basedOn w:val="Normal"/>
    <w:link w:val="TextocomentarioCar"/>
    <w:uiPriority w:val="99"/>
    <w:unhideWhenUsed/>
    <w:rsid w:val="00DF097C"/>
    <w:pPr>
      <w:spacing w:line="240" w:lineRule="auto"/>
    </w:pPr>
    <w:rPr>
      <w:sz w:val="20"/>
      <w:szCs w:val="20"/>
    </w:rPr>
  </w:style>
  <w:style w:type="character" w:customStyle="1" w:styleId="TextocomentarioCar">
    <w:name w:val="Texto comentario Car"/>
    <w:basedOn w:val="Fuentedeprrafopredeter"/>
    <w:link w:val="Textocomentario"/>
    <w:uiPriority w:val="99"/>
    <w:rsid w:val="00DF097C"/>
    <w:rPr>
      <w:sz w:val="20"/>
      <w:szCs w:val="20"/>
    </w:rPr>
  </w:style>
  <w:style w:type="paragraph" w:styleId="Asuntodelcomentario">
    <w:name w:val="annotation subject"/>
    <w:basedOn w:val="Textocomentario"/>
    <w:next w:val="Textocomentario"/>
    <w:link w:val="AsuntodelcomentarioCar"/>
    <w:uiPriority w:val="99"/>
    <w:semiHidden/>
    <w:unhideWhenUsed/>
    <w:rsid w:val="00DF097C"/>
    <w:rPr>
      <w:b/>
      <w:bCs/>
    </w:rPr>
  </w:style>
  <w:style w:type="character" w:customStyle="1" w:styleId="AsuntodelcomentarioCar">
    <w:name w:val="Asunto del comentario Car"/>
    <w:basedOn w:val="TextocomentarioCar"/>
    <w:link w:val="Asuntodelcomentario"/>
    <w:uiPriority w:val="99"/>
    <w:semiHidden/>
    <w:rsid w:val="00DF097C"/>
    <w:rPr>
      <w:b/>
      <w:bCs/>
      <w:sz w:val="20"/>
      <w:szCs w:val="20"/>
    </w:rPr>
  </w:style>
  <w:style w:type="character" w:customStyle="1" w:styleId="Ttulo2Car">
    <w:name w:val="Título 2 Car"/>
    <w:basedOn w:val="Fuentedeprrafopredeter"/>
    <w:link w:val="Ttulo2"/>
    <w:uiPriority w:val="9"/>
    <w:semiHidden/>
    <w:rsid w:val="00A91D9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91D9F"/>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91D9F"/>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A91D9F"/>
    <w:rPr>
      <w:rFonts w:asciiTheme="majorHAnsi" w:eastAsiaTheme="majorEastAsia" w:hAnsiTheme="majorHAnsi" w:cstheme="majorBidi"/>
      <w:color w:val="2F5496" w:themeColor="accent1" w:themeShade="BF"/>
      <w:sz w:val="24"/>
    </w:rPr>
  </w:style>
  <w:style w:type="character" w:customStyle="1" w:styleId="Ttulo6Car">
    <w:name w:val="Título 6 Car"/>
    <w:basedOn w:val="Fuentedeprrafopredeter"/>
    <w:link w:val="Ttulo6"/>
    <w:uiPriority w:val="9"/>
    <w:semiHidden/>
    <w:rsid w:val="00A91D9F"/>
    <w:rPr>
      <w:rFonts w:asciiTheme="majorHAnsi" w:eastAsiaTheme="majorEastAsia" w:hAnsiTheme="majorHAnsi" w:cstheme="majorBidi"/>
      <w:color w:val="1F3763" w:themeColor="accent1" w:themeShade="7F"/>
      <w:sz w:val="24"/>
    </w:rPr>
  </w:style>
  <w:style w:type="character" w:customStyle="1" w:styleId="Ttulo7Car">
    <w:name w:val="Título 7 Car"/>
    <w:basedOn w:val="Fuentedeprrafopredeter"/>
    <w:link w:val="Ttulo7"/>
    <w:uiPriority w:val="9"/>
    <w:rsid w:val="00A91D9F"/>
    <w:rPr>
      <w:rFonts w:asciiTheme="majorHAnsi" w:eastAsiaTheme="majorEastAsia" w:hAnsiTheme="majorHAnsi" w:cstheme="majorBidi"/>
      <w:i/>
      <w:iCs/>
      <w:color w:val="1F3763" w:themeColor="accent1" w:themeShade="7F"/>
      <w:sz w:val="24"/>
    </w:rPr>
  </w:style>
  <w:style w:type="character" w:customStyle="1" w:styleId="Ttulo8Car">
    <w:name w:val="Título 8 Car"/>
    <w:basedOn w:val="Fuentedeprrafopredeter"/>
    <w:link w:val="Ttulo8"/>
    <w:uiPriority w:val="9"/>
    <w:semiHidden/>
    <w:rsid w:val="00A91D9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91D9F"/>
    <w:rPr>
      <w:rFonts w:asciiTheme="majorHAnsi" w:eastAsiaTheme="majorEastAsia" w:hAnsiTheme="majorHAnsi" w:cstheme="majorBidi"/>
      <w:i/>
      <w:iCs/>
      <w:color w:val="272727" w:themeColor="text1" w:themeTint="D8"/>
      <w:sz w:val="21"/>
      <w:szCs w:val="21"/>
    </w:rPr>
  </w:style>
  <w:style w:type="paragraph" w:customStyle="1" w:styleId="Respuesta">
    <w:name w:val="Respuesta"/>
    <w:basedOn w:val="Normal"/>
    <w:next w:val="Normal"/>
    <w:rsid w:val="00E80555"/>
    <w:pPr>
      <w:numPr>
        <w:numId w:val="2"/>
      </w:numPr>
      <w:tabs>
        <w:tab w:val="clear" w:pos="1800"/>
        <w:tab w:val="num" w:pos="360"/>
      </w:tabs>
      <w:spacing w:after="240" w:line="240" w:lineRule="auto"/>
    </w:pPr>
    <w:rPr>
      <w:rFonts w:ascii="Tahoma" w:eastAsia="Times New Roman" w:hAnsi="Tahoma"/>
      <w:szCs w:val="20"/>
      <w:shd w:val="clear" w:color="auto" w:fill="FFFF00"/>
      <w:lang w:eastAsia="es-ES"/>
    </w:rPr>
  </w:style>
  <w:style w:type="character" w:styleId="Mencionar">
    <w:name w:val="Mention"/>
    <w:basedOn w:val="Fuentedeprrafopredeter"/>
    <w:uiPriority w:val="99"/>
    <w:unhideWhenUsed/>
    <w:rsid w:val="003D5FC2"/>
    <w:rPr>
      <w:color w:val="2B579A"/>
      <w:shd w:val="clear" w:color="auto" w:fill="E1DFDD"/>
    </w:rPr>
  </w:style>
  <w:style w:type="paragraph" w:styleId="Encabezado">
    <w:name w:val="header"/>
    <w:basedOn w:val="Normal"/>
    <w:link w:val="EncabezadoCar"/>
    <w:uiPriority w:val="99"/>
    <w:unhideWhenUsed/>
    <w:rsid w:val="00BE6E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6E25"/>
    <w:rPr>
      <w:sz w:val="24"/>
    </w:rPr>
  </w:style>
  <w:style w:type="paragraph" w:styleId="Piedepgina">
    <w:name w:val="footer"/>
    <w:basedOn w:val="Normal"/>
    <w:link w:val="PiedepginaCar"/>
    <w:unhideWhenUsed/>
    <w:qFormat/>
    <w:rsid w:val="00BE6E25"/>
    <w:pPr>
      <w:tabs>
        <w:tab w:val="center" w:pos="4419"/>
        <w:tab w:val="right" w:pos="8838"/>
      </w:tabs>
      <w:spacing w:after="0" w:line="240" w:lineRule="auto"/>
    </w:pPr>
  </w:style>
  <w:style w:type="character" w:customStyle="1" w:styleId="PiedepginaCar">
    <w:name w:val="Pie de página Car"/>
    <w:basedOn w:val="Fuentedeprrafopredeter"/>
    <w:link w:val="Piedepgina"/>
    <w:rsid w:val="00BE6E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770FB5D60BBF448BBD0B40DA7199AD6" ma:contentTypeVersion="11" ma:contentTypeDescription="Crear nuevo documento." ma:contentTypeScope="" ma:versionID="b0a355ff51b35a715e04c0a9c4f7a312">
  <xsd:schema xmlns:xsd="http://www.w3.org/2001/XMLSchema" xmlns:xs="http://www.w3.org/2001/XMLSchema" xmlns:p="http://schemas.microsoft.com/office/2006/metadata/properties" xmlns:ns2="51a16770-6a30-4f42-93ee-ac96d3bfee18" xmlns:ns3="1811d846-3048-4a9d-9eef-667303da9e14" targetNamespace="http://schemas.microsoft.com/office/2006/metadata/properties" ma:root="true" ma:fieldsID="454b00846b8a24df063f67d852ff3324" ns2:_="" ns3:_="">
    <xsd:import namespace="51a16770-6a30-4f42-93ee-ac96d3bfee18"/>
    <xsd:import namespace="1811d846-3048-4a9d-9eef-667303da9e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16770-6a30-4f42-93ee-ac96d3bfe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a962ede3-39b3-45c6-9f12-db7754d5a3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1d846-3048-4a9d-9eef-667303da9e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86fddf-d47a-4aee-8ef1-4a5e272e28b0}" ma:internalName="TaxCatchAll" ma:showField="CatchAllData" ma:web="1811d846-3048-4a9d-9eef-667303da9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a16770-6a30-4f42-93ee-ac96d3bfee18">
      <Terms xmlns="http://schemas.microsoft.com/office/infopath/2007/PartnerControls"/>
    </lcf76f155ced4ddcb4097134ff3c332f>
    <TaxCatchAll xmlns="1811d846-3048-4a9d-9eef-667303da9e14" xsi:nil="true"/>
  </documentManagement>
</p:properties>
</file>

<file path=customXml/itemProps1.xml><?xml version="1.0" encoding="utf-8"?>
<ds:datastoreItem xmlns:ds="http://schemas.openxmlformats.org/officeDocument/2006/customXml" ds:itemID="{4A68D671-AC81-4878-B859-5E3A9E2D6540}">
  <ds:schemaRefs>
    <ds:schemaRef ds:uri="http://schemas.openxmlformats.org/officeDocument/2006/bibliography"/>
  </ds:schemaRefs>
</ds:datastoreItem>
</file>

<file path=customXml/itemProps2.xml><?xml version="1.0" encoding="utf-8"?>
<ds:datastoreItem xmlns:ds="http://schemas.openxmlformats.org/officeDocument/2006/customXml" ds:itemID="{088C0B4B-A119-4E6C-B150-F8305CA86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16770-6a30-4f42-93ee-ac96d3bfee18"/>
    <ds:schemaRef ds:uri="1811d846-3048-4a9d-9eef-667303da9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34940-26ED-4B47-A0FB-8A1C6F2A00F2}">
  <ds:schemaRefs>
    <ds:schemaRef ds:uri="http://schemas.microsoft.com/sharepoint/v3/contenttype/forms"/>
  </ds:schemaRefs>
</ds:datastoreItem>
</file>

<file path=customXml/itemProps4.xml><?xml version="1.0" encoding="utf-8"?>
<ds:datastoreItem xmlns:ds="http://schemas.openxmlformats.org/officeDocument/2006/customXml" ds:itemID="{4E042534-3B5B-4FEF-ADC3-7BB45BA8C797}">
  <ds:schemaRefs>
    <ds:schemaRef ds:uri="http://schemas.microsoft.com/office/2006/metadata/properties"/>
    <ds:schemaRef ds:uri="http://schemas.microsoft.com/office/infopath/2007/PartnerControls"/>
    <ds:schemaRef ds:uri="51a16770-6a30-4f42-93ee-ac96d3bfee18"/>
    <ds:schemaRef ds:uri="1811d846-3048-4a9d-9eef-667303da9e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3053</Words>
  <Characters>16641</Characters>
  <Application>Microsoft Office Word</Application>
  <DocSecurity>0</DocSecurity>
  <Lines>320</Lines>
  <Paragraphs>107</Paragraphs>
  <ScaleCrop>false</ScaleCrop>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Chen</dc:creator>
  <cp:keywords/>
  <dc:description/>
  <cp:lastModifiedBy>Jenny de Da Lorenzo</cp:lastModifiedBy>
  <cp:revision>2</cp:revision>
  <cp:lastPrinted>2025-12-18T12:49:00Z</cp:lastPrinted>
  <dcterms:created xsi:type="dcterms:W3CDTF">2025-12-18T12:49:00Z</dcterms:created>
  <dcterms:modified xsi:type="dcterms:W3CDTF">2025-12-18T12:49:00Z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0x0101000770FB5D60BBF448BBD0B40DA7199AD6</vt:lpwstr>
  </property>
  <property fmtid="{D5CDD505-2E9C-101B-9397-08002B2CF9AE}" pid="3" name="MediaServiceImageTags">
    <vt:lpwstr/>
  </property>
</Properties>
</file>